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DBEFD" w14:textId="77777777"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67"/>
        <w:gridCol w:w="5353"/>
        <w:gridCol w:w="5354"/>
        <w:gridCol w:w="2018"/>
      </w:tblGrid>
      <w:tr w:rsidR="001E533B" w:rsidRPr="00F6439B" w14:paraId="0BD222B5" w14:textId="77777777" w:rsidTr="004A29F0">
        <w:trPr>
          <w:tblHeader/>
        </w:trPr>
        <w:tc>
          <w:tcPr>
            <w:tcW w:w="1384" w:type="dxa"/>
            <w:tcBorders>
              <w:top w:val="single" w:sz="12" w:space="0" w:color="auto"/>
              <w:left w:val="single" w:sz="12" w:space="0" w:color="auto"/>
              <w:bottom w:val="single" w:sz="12" w:space="0" w:color="auto"/>
            </w:tcBorders>
          </w:tcPr>
          <w:p w14:paraId="19B4A9C2"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42E133A5"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5487154F"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5D4965C4"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63D209E3"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36E7D9C7" w14:textId="77777777">
        <w:tc>
          <w:tcPr>
            <w:tcW w:w="1384" w:type="dxa"/>
            <w:vMerge w:val="restart"/>
            <w:tcBorders>
              <w:top w:val="single" w:sz="12" w:space="0" w:color="auto"/>
              <w:left w:val="single" w:sz="12" w:space="0" w:color="auto"/>
            </w:tcBorders>
          </w:tcPr>
          <w:p w14:paraId="178A3A0C" w14:textId="77777777" w:rsidR="003B3105" w:rsidRPr="00F6439B" w:rsidRDefault="003B3105" w:rsidP="001E533B">
            <w:pPr>
              <w:rPr>
                <w:rFonts w:ascii="新細明體" w:eastAsia="新細明體" w:hAnsi="新細明體"/>
              </w:rPr>
            </w:pPr>
            <w:r>
              <w:rPr>
                <w:rFonts w:ascii="新細明體" w:eastAsia="新細明體" w:hAnsi="新細明體" w:hint="eastAsia"/>
              </w:rPr>
              <w:t>CA-12120</w:t>
            </w:r>
          </w:p>
        </w:tc>
        <w:tc>
          <w:tcPr>
            <w:tcW w:w="1276" w:type="dxa"/>
            <w:vMerge w:val="restart"/>
            <w:tcBorders>
              <w:top w:val="single" w:sz="12" w:space="0" w:color="auto"/>
            </w:tcBorders>
          </w:tcPr>
          <w:p w14:paraId="2CE18BFE" w14:textId="77777777" w:rsidR="003B3105" w:rsidRPr="00F6439B" w:rsidRDefault="003B3105" w:rsidP="001E533B">
            <w:pPr>
              <w:rPr>
                <w:rFonts w:ascii="新細明體" w:eastAsia="新細明體" w:hAnsi="新細明體"/>
              </w:rPr>
            </w:pPr>
            <w:r>
              <w:rPr>
                <w:rFonts w:ascii="新細明體" w:eastAsia="新細明體" w:hAnsi="新細明體" w:hint="eastAsia"/>
              </w:rPr>
              <w:t>買賣決策執行</w:t>
            </w:r>
          </w:p>
        </w:tc>
        <w:tc>
          <w:tcPr>
            <w:tcW w:w="5386" w:type="dxa"/>
            <w:tcBorders>
              <w:top w:val="single" w:sz="12" w:space="0" w:color="auto"/>
              <w:bottom w:val="nil"/>
            </w:tcBorders>
          </w:tcPr>
          <w:p w14:paraId="63C45A8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7ED0C86C"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AA5D4F7"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金管會114年4月23日金管證券字第1140381481號令修正，開放同時經營證券經紀、承銷及自營業務之綜合證券商得購買依財團法人中華民國證券櫃檯買賣中心創櫃板管理辦法規定登錄之創櫃板公司，於登錄創櫃板期間增資發行之新股，爰予修正。</w:t>
            </w:r>
          </w:p>
        </w:tc>
      </w:tr>
      <w:tr w:rsidR="003B3105" w:rsidRPr="00F6439B" w14:paraId="69C03967" w14:textId="77777777">
        <w:tc>
          <w:tcPr>
            <w:tcW w:w="1384" w:type="dxa"/>
            <w:vMerge/>
            <w:tcBorders>
              <w:left w:val="single" w:sz="12" w:space="0" w:color="auto"/>
            </w:tcBorders>
          </w:tcPr>
          <w:p w14:paraId="779A7D28" w14:textId="77777777" w:rsidR="003B3105" w:rsidRDefault="003B3105" w:rsidP="001E533B">
            <w:pPr>
              <w:rPr>
                <w:rFonts w:ascii="新細明體" w:eastAsia="新細明體" w:hAnsi="新細明體"/>
              </w:rPr>
            </w:pPr>
          </w:p>
        </w:tc>
        <w:tc>
          <w:tcPr>
            <w:tcW w:w="1276" w:type="dxa"/>
            <w:vMerge/>
          </w:tcPr>
          <w:p w14:paraId="7CC06DE0" w14:textId="77777777" w:rsidR="003B3105" w:rsidRDefault="003B3105" w:rsidP="001E533B">
            <w:pPr>
              <w:rPr>
                <w:rFonts w:ascii="新細明體" w:eastAsia="新細明體" w:hAnsi="新細明體"/>
              </w:rPr>
            </w:pPr>
          </w:p>
        </w:tc>
        <w:tc>
          <w:tcPr>
            <w:tcW w:w="5386" w:type="dxa"/>
            <w:tcBorders>
              <w:top w:val="nil"/>
              <w:bottom w:val="nil"/>
            </w:tcBorders>
          </w:tcPr>
          <w:p w14:paraId="7D441E6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負責買賣申報之經辦人員於買賣申報輸入時，應依序逐筆將證券商代號、自行買賣申報編號、自營商帳號、有價證券代號、單價、數量及買賣別等資料輸入，並在終端機上核對是否正確後再按執行鍵，隨即由回報列表機列印買賣回報單，俟撮合成交後，即經由印表機列印成交回報單，以與公司買賣決策或授權範圍所決定之買賣有價證券之數量及價格核對，且買賣申報編號，應依申報先後依序編定之。但公司如係符合相關規定以電子方式處理會計資料者，自營部門買賣回報單、成交回報單均得以媒體方式儲存，惟應依規定格式及需求列印。</w:t>
            </w:r>
          </w:p>
        </w:tc>
        <w:tc>
          <w:tcPr>
            <w:tcW w:w="5387" w:type="dxa"/>
            <w:tcBorders>
              <w:top w:val="nil"/>
              <w:bottom w:val="nil"/>
            </w:tcBorders>
          </w:tcPr>
          <w:p w14:paraId="3950967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負責買賣申報之經辦人員於買賣申報輸入時，應依序逐筆將證券商代號、自行買賣申報編號、自營商帳號、有價證券代號、單價、數量及買賣別等資料輸入，並在終端機上核對是否正確後再按執行鍵，隨即由回報列表機列印買賣回報單，俟撮合成交後，即經由印表機列印成交回報單，以與公司買賣決策或授權範圍所決定之買賣有價證券之數量及價格核對，且買賣申報編號，應依申報先後依序編定之。但公司如係符合相關規定以電子方式處理會計資料者，自營部門買賣回報單、成交回報單均得以媒體方式儲存，惟應依規定格式及需求列印。</w:t>
            </w:r>
          </w:p>
        </w:tc>
        <w:tc>
          <w:tcPr>
            <w:tcW w:w="2023" w:type="dxa"/>
            <w:vMerge/>
            <w:tcBorders>
              <w:right w:val="single" w:sz="12" w:space="0" w:color="auto"/>
            </w:tcBorders>
          </w:tcPr>
          <w:p w14:paraId="63A91CB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602CB9" w14:textId="77777777">
        <w:tc>
          <w:tcPr>
            <w:tcW w:w="1384" w:type="dxa"/>
            <w:vMerge/>
            <w:tcBorders>
              <w:left w:val="single" w:sz="12" w:space="0" w:color="auto"/>
            </w:tcBorders>
          </w:tcPr>
          <w:p w14:paraId="0E670DD8" w14:textId="77777777" w:rsidR="003B3105" w:rsidRDefault="003B3105" w:rsidP="001E533B">
            <w:pPr>
              <w:rPr>
                <w:rFonts w:ascii="新細明體" w:eastAsia="新細明體" w:hAnsi="新細明體"/>
              </w:rPr>
            </w:pPr>
          </w:p>
        </w:tc>
        <w:tc>
          <w:tcPr>
            <w:tcW w:w="1276" w:type="dxa"/>
            <w:vMerge/>
          </w:tcPr>
          <w:p w14:paraId="228AE0C0" w14:textId="77777777" w:rsidR="003B3105" w:rsidRDefault="003B3105" w:rsidP="001E533B">
            <w:pPr>
              <w:rPr>
                <w:rFonts w:ascii="新細明體" w:eastAsia="新細明體" w:hAnsi="新細明體"/>
              </w:rPr>
            </w:pPr>
          </w:p>
        </w:tc>
        <w:tc>
          <w:tcPr>
            <w:tcW w:w="5386" w:type="dxa"/>
            <w:tcBorders>
              <w:top w:val="nil"/>
              <w:bottom w:val="nil"/>
            </w:tcBorders>
          </w:tcPr>
          <w:p w14:paraId="44DCF1F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(二)自營部門買超所需之資金，應知會財務部門，俾維持公司營運資金正常運轉，若為賣出股票時，交易人員應先查詢庫存報表之可供賣出股數，以確認未有超賣或賣出待領股票情事。</w:t>
            </w:r>
          </w:p>
        </w:tc>
        <w:tc>
          <w:tcPr>
            <w:tcW w:w="5387" w:type="dxa"/>
            <w:tcBorders>
              <w:top w:val="nil"/>
              <w:bottom w:val="nil"/>
            </w:tcBorders>
          </w:tcPr>
          <w:p w14:paraId="6B3AED1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(二)自營部門買超所需之資金，應知會財務部門，俾維持公司營運資金正常運轉，若為賣出股票時，交易人員應先查詢庫存報表之可供賣出股數，以確認未有超賣或賣出待領股票情事。</w:t>
            </w:r>
          </w:p>
        </w:tc>
        <w:tc>
          <w:tcPr>
            <w:tcW w:w="2023" w:type="dxa"/>
            <w:vMerge/>
            <w:tcBorders>
              <w:right w:val="single" w:sz="12" w:space="0" w:color="auto"/>
            </w:tcBorders>
          </w:tcPr>
          <w:p w14:paraId="4EA56D5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E9E521" w14:textId="77777777">
        <w:tc>
          <w:tcPr>
            <w:tcW w:w="1384" w:type="dxa"/>
            <w:vMerge/>
            <w:tcBorders>
              <w:left w:val="single" w:sz="12" w:space="0" w:color="auto"/>
            </w:tcBorders>
          </w:tcPr>
          <w:p w14:paraId="73A07CB0" w14:textId="77777777" w:rsidR="003B3105" w:rsidRDefault="003B3105" w:rsidP="001E533B">
            <w:pPr>
              <w:rPr>
                <w:rFonts w:ascii="新細明體" w:eastAsia="新細明體" w:hAnsi="新細明體"/>
              </w:rPr>
            </w:pPr>
          </w:p>
        </w:tc>
        <w:tc>
          <w:tcPr>
            <w:tcW w:w="1276" w:type="dxa"/>
            <w:vMerge/>
          </w:tcPr>
          <w:p w14:paraId="6EDC50B7" w14:textId="77777777" w:rsidR="003B3105" w:rsidRDefault="003B3105" w:rsidP="001E533B">
            <w:pPr>
              <w:rPr>
                <w:rFonts w:ascii="新細明體" w:eastAsia="新細明體" w:hAnsi="新細明體"/>
              </w:rPr>
            </w:pPr>
          </w:p>
        </w:tc>
        <w:tc>
          <w:tcPr>
            <w:tcW w:w="5386" w:type="dxa"/>
            <w:tcBorders>
              <w:top w:val="nil"/>
              <w:bottom w:val="nil"/>
            </w:tcBorders>
          </w:tcPr>
          <w:p w14:paraId="1511622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(三)除由金融機構兼營者依有關法令規定及主管機關另有規定者以外，經營自行買賣有價證券業務應注意：</w:t>
            </w:r>
          </w:p>
        </w:tc>
        <w:tc>
          <w:tcPr>
            <w:tcW w:w="5387" w:type="dxa"/>
            <w:tcBorders>
              <w:top w:val="nil"/>
              <w:bottom w:val="nil"/>
            </w:tcBorders>
          </w:tcPr>
          <w:p w14:paraId="56EF851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(三)除由金融機構兼營者依有關法令規定及主管機關另有規定者以外，經營自行買賣有價證券業務應注意：</w:t>
            </w:r>
          </w:p>
        </w:tc>
        <w:tc>
          <w:tcPr>
            <w:tcW w:w="2023" w:type="dxa"/>
            <w:vMerge/>
            <w:tcBorders>
              <w:right w:val="single" w:sz="12" w:space="0" w:color="auto"/>
            </w:tcBorders>
          </w:tcPr>
          <w:p w14:paraId="3DD217D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E143A1" w14:textId="77777777">
        <w:tc>
          <w:tcPr>
            <w:tcW w:w="1384" w:type="dxa"/>
            <w:vMerge/>
            <w:tcBorders>
              <w:left w:val="single" w:sz="12" w:space="0" w:color="auto"/>
            </w:tcBorders>
          </w:tcPr>
          <w:p w14:paraId="0B080227" w14:textId="77777777" w:rsidR="003B3105" w:rsidRDefault="003B3105" w:rsidP="001E533B">
            <w:pPr>
              <w:rPr>
                <w:rFonts w:ascii="新細明體" w:eastAsia="新細明體" w:hAnsi="新細明體"/>
              </w:rPr>
            </w:pPr>
          </w:p>
        </w:tc>
        <w:tc>
          <w:tcPr>
            <w:tcW w:w="1276" w:type="dxa"/>
            <w:vMerge/>
          </w:tcPr>
          <w:p w14:paraId="4D473981" w14:textId="77777777" w:rsidR="003B3105" w:rsidRDefault="003B3105" w:rsidP="001E533B">
            <w:pPr>
              <w:rPr>
                <w:rFonts w:ascii="新細明體" w:eastAsia="新細明體" w:hAnsi="新細明體"/>
              </w:rPr>
            </w:pPr>
          </w:p>
        </w:tc>
        <w:tc>
          <w:tcPr>
            <w:tcW w:w="5386" w:type="dxa"/>
            <w:tcBorders>
              <w:top w:val="nil"/>
              <w:bottom w:val="nil"/>
            </w:tcBorders>
          </w:tcPr>
          <w:p w14:paraId="4075F19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1.持有任一本國公司股份之總額不得超過該公司 已發行股份總額之百分之十；其持有任一本國公司所發行有價證券之成</w:t>
            </w:r>
            <w:r>
              <w:rPr>
                <w:rFonts w:ascii="新細明體" w:eastAsia="新細明體" w:hAnsi="新細明體" w:cs="新細明體" w:hint="eastAsia"/>
              </w:rPr>
              <w:lastRenderedPageBreak/>
              <w:t>本總額，並不得超過公司淨值之百分之二十。另投資於其募資平台辦理股權募集之公司股票，持有任一公司股份之總額不得超過該公司股份總額之百分之十；其持有任一公司股份之成本總額，不得超過公司淨值之百分之二十。</w:t>
            </w:r>
          </w:p>
        </w:tc>
        <w:tc>
          <w:tcPr>
            <w:tcW w:w="5387" w:type="dxa"/>
            <w:tcBorders>
              <w:top w:val="nil"/>
              <w:bottom w:val="nil"/>
            </w:tcBorders>
          </w:tcPr>
          <w:p w14:paraId="07C10A2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1.持有任一本國公司股份之總額不得超過該公司 已發行股份總額之百分之十；其持有任一本國公司所發行有價證券之成</w:t>
            </w:r>
            <w:r>
              <w:rPr>
                <w:rFonts w:ascii="新細明體" w:eastAsia="新細明體" w:hAnsi="新細明體" w:cs="新細明體" w:hint="eastAsia"/>
              </w:rPr>
              <w:lastRenderedPageBreak/>
              <w:t>本總額，並不得超過公司淨值之百分之二十。另投資於其募資平台辦理股權募集之公司股票，持有任一公司股份之總額不得超過該公司股份總額之百分之十；其持有任一公司股份之成本總額，不得超過公司淨值之百分之二十。</w:t>
            </w:r>
          </w:p>
        </w:tc>
        <w:tc>
          <w:tcPr>
            <w:tcW w:w="2023" w:type="dxa"/>
            <w:vMerge/>
            <w:tcBorders>
              <w:right w:val="single" w:sz="12" w:space="0" w:color="auto"/>
            </w:tcBorders>
          </w:tcPr>
          <w:p w14:paraId="13AEBEF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4770777" w14:textId="77777777">
        <w:tc>
          <w:tcPr>
            <w:tcW w:w="1384" w:type="dxa"/>
            <w:vMerge/>
            <w:tcBorders>
              <w:left w:val="single" w:sz="12" w:space="0" w:color="auto"/>
            </w:tcBorders>
          </w:tcPr>
          <w:p w14:paraId="29EC43EB" w14:textId="77777777" w:rsidR="003B3105" w:rsidRDefault="003B3105" w:rsidP="001E533B">
            <w:pPr>
              <w:rPr>
                <w:rFonts w:ascii="新細明體" w:eastAsia="新細明體" w:hAnsi="新細明體"/>
              </w:rPr>
            </w:pPr>
          </w:p>
        </w:tc>
        <w:tc>
          <w:tcPr>
            <w:tcW w:w="1276" w:type="dxa"/>
            <w:vMerge/>
          </w:tcPr>
          <w:p w14:paraId="67F64C56" w14:textId="77777777" w:rsidR="003B3105" w:rsidRDefault="003B3105" w:rsidP="001E533B">
            <w:pPr>
              <w:rPr>
                <w:rFonts w:ascii="新細明體" w:eastAsia="新細明體" w:hAnsi="新細明體"/>
              </w:rPr>
            </w:pPr>
          </w:p>
        </w:tc>
        <w:tc>
          <w:tcPr>
            <w:tcW w:w="5386" w:type="dxa"/>
            <w:tcBorders>
              <w:top w:val="nil"/>
              <w:bottom w:val="nil"/>
            </w:tcBorders>
          </w:tcPr>
          <w:p w14:paraId="6EDB616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持有任一外國公司股份之總額，不得超過該公司已發行股份總額之百分之五；其持有任一外國公司所發行有價證券之成本總額，不得超過公司淨值之百分之二十，但涉及股權性質有價證券之成本總額，不得超過該證券商淨值之百分之十。</w:t>
            </w:r>
          </w:p>
        </w:tc>
        <w:tc>
          <w:tcPr>
            <w:tcW w:w="5387" w:type="dxa"/>
            <w:tcBorders>
              <w:top w:val="nil"/>
              <w:bottom w:val="nil"/>
            </w:tcBorders>
          </w:tcPr>
          <w:p w14:paraId="71345DF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持有任一外國公司股份之總額，不得超過該公司已發行股份總額之百分之五；其持有任一外國公司所發行有價證券之成本總額，不得超過公司淨值之百分之二十，但涉及股權性質有價證券之成本總額，不得超過該證券商淨值之百分之十。</w:t>
            </w:r>
          </w:p>
        </w:tc>
        <w:tc>
          <w:tcPr>
            <w:tcW w:w="2023" w:type="dxa"/>
            <w:vMerge/>
            <w:tcBorders>
              <w:right w:val="single" w:sz="12" w:space="0" w:color="auto"/>
            </w:tcBorders>
          </w:tcPr>
          <w:p w14:paraId="0104E94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4DAD05" w14:textId="77777777">
        <w:tc>
          <w:tcPr>
            <w:tcW w:w="1384" w:type="dxa"/>
            <w:vMerge/>
            <w:tcBorders>
              <w:left w:val="single" w:sz="12" w:space="0" w:color="auto"/>
            </w:tcBorders>
          </w:tcPr>
          <w:p w14:paraId="55662790" w14:textId="77777777" w:rsidR="003B3105" w:rsidRDefault="003B3105" w:rsidP="001E533B">
            <w:pPr>
              <w:rPr>
                <w:rFonts w:ascii="新細明體" w:eastAsia="新細明體" w:hAnsi="新細明體"/>
              </w:rPr>
            </w:pPr>
          </w:p>
        </w:tc>
        <w:tc>
          <w:tcPr>
            <w:tcW w:w="1276" w:type="dxa"/>
            <w:vMerge/>
          </w:tcPr>
          <w:p w14:paraId="4B08A1A8" w14:textId="77777777" w:rsidR="003B3105" w:rsidRDefault="003B3105" w:rsidP="001E533B">
            <w:pPr>
              <w:rPr>
                <w:rFonts w:ascii="新細明體" w:eastAsia="新細明體" w:hAnsi="新細明體"/>
              </w:rPr>
            </w:pPr>
          </w:p>
        </w:tc>
        <w:tc>
          <w:tcPr>
            <w:tcW w:w="5386" w:type="dxa"/>
            <w:tcBorders>
              <w:top w:val="nil"/>
              <w:bottom w:val="nil"/>
            </w:tcBorders>
          </w:tcPr>
          <w:p w14:paraId="252E803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持有單一關係人所發行股權性質有價證券之投資成本總額，不得超過公司淨值之百分之五；持有所有關係人所發行股權性質有價證券之投資成本總額，不得超過公司淨值之百分之十。但辦理認購（售）權證、指數投資證券及於營業處所經營衍生性金融商品交易業務之履約與避險操作，以及指數股票型證券投資信託基金之受益憑證及該受益憑證所表彰股票組合之避險者，不在此限。</w:t>
            </w:r>
          </w:p>
        </w:tc>
        <w:tc>
          <w:tcPr>
            <w:tcW w:w="5387" w:type="dxa"/>
            <w:tcBorders>
              <w:top w:val="nil"/>
              <w:bottom w:val="nil"/>
            </w:tcBorders>
          </w:tcPr>
          <w:p w14:paraId="03F8FA0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持有單一關係人所發行股權性質有價證券之投資成本總額，不得超過公司淨值之百分之五；持有所有關係人所發行股權性質有價證券之投資成本總額，不得超過公司淨值之百分之十。但辦理認購（售）權證、指數投資證券及於營業處所經營衍生性金融商品交易業務之履約與避險操作，以及指數股票型證券投資信託基金之受益憑證及該受益憑證所表彰股票組合之避險者，不在此限。</w:t>
            </w:r>
          </w:p>
        </w:tc>
        <w:tc>
          <w:tcPr>
            <w:tcW w:w="2023" w:type="dxa"/>
            <w:vMerge/>
            <w:tcBorders>
              <w:right w:val="single" w:sz="12" w:space="0" w:color="auto"/>
            </w:tcBorders>
          </w:tcPr>
          <w:p w14:paraId="019C755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04B4CC" w14:textId="77777777">
        <w:tc>
          <w:tcPr>
            <w:tcW w:w="1384" w:type="dxa"/>
            <w:vMerge/>
            <w:tcBorders>
              <w:left w:val="single" w:sz="12" w:space="0" w:color="auto"/>
            </w:tcBorders>
          </w:tcPr>
          <w:p w14:paraId="40F377AD" w14:textId="77777777" w:rsidR="003B3105" w:rsidRDefault="003B3105" w:rsidP="001E533B">
            <w:pPr>
              <w:rPr>
                <w:rFonts w:ascii="新細明體" w:eastAsia="新細明體" w:hAnsi="新細明體"/>
              </w:rPr>
            </w:pPr>
          </w:p>
        </w:tc>
        <w:tc>
          <w:tcPr>
            <w:tcW w:w="1276" w:type="dxa"/>
            <w:vMerge/>
          </w:tcPr>
          <w:p w14:paraId="57430B80" w14:textId="77777777" w:rsidR="003B3105" w:rsidRDefault="003B3105" w:rsidP="001E533B">
            <w:pPr>
              <w:rPr>
                <w:rFonts w:ascii="新細明體" w:eastAsia="新細明體" w:hAnsi="新細明體"/>
              </w:rPr>
            </w:pPr>
          </w:p>
        </w:tc>
        <w:tc>
          <w:tcPr>
            <w:tcW w:w="5386" w:type="dxa"/>
            <w:tcBorders>
              <w:top w:val="nil"/>
              <w:bottom w:val="nil"/>
            </w:tcBorders>
          </w:tcPr>
          <w:p w14:paraId="421D1DA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4.持有單一證券商所發行普通公司債之投資成本總額，不得超過該證券商淨值之5%，持有所有證券商所發行普通公司債之投資成本總額，不得超過該證券商淨</w:t>
            </w:r>
            <w:r>
              <w:rPr>
                <w:rFonts w:ascii="新細明體" w:eastAsia="新細明體" w:hAnsi="新細明體" w:cs="新細明體" w:hint="eastAsia"/>
              </w:rPr>
              <w:lastRenderedPageBreak/>
              <w:t>值之10%。</w:t>
            </w:r>
          </w:p>
        </w:tc>
        <w:tc>
          <w:tcPr>
            <w:tcW w:w="5387" w:type="dxa"/>
            <w:tcBorders>
              <w:top w:val="nil"/>
              <w:bottom w:val="nil"/>
            </w:tcBorders>
          </w:tcPr>
          <w:p w14:paraId="7207FFB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4.持有單一證券商所發行普通公司債之投資成本總額，不得超過該證券商淨值之5%，持有所有證券商所發行普通公司債之投資成本總額，不得超過該證券商淨</w:t>
            </w:r>
            <w:r>
              <w:rPr>
                <w:rFonts w:ascii="新細明體" w:eastAsia="新細明體" w:hAnsi="新細明體" w:cs="新細明體" w:hint="eastAsia"/>
              </w:rPr>
              <w:lastRenderedPageBreak/>
              <w:t>值之10%。</w:t>
            </w:r>
          </w:p>
        </w:tc>
        <w:tc>
          <w:tcPr>
            <w:tcW w:w="2023" w:type="dxa"/>
            <w:vMerge/>
            <w:tcBorders>
              <w:right w:val="single" w:sz="12" w:space="0" w:color="auto"/>
            </w:tcBorders>
          </w:tcPr>
          <w:p w14:paraId="37EACE9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9457FC" w14:textId="77777777">
        <w:tc>
          <w:tcPr>
            <w:tcW w:w="1384" w:type="dxa"/>
            <w:vMerge/>
            <w:tcBorders>
              <w:left w:val="single" w:sz="12" w:space="0" w:color="auto"/>
            </w:tcBorders>
          </w:tcPr>
          <w:p w14:paraId="3D98E18F" w14:textId="77777777" w:rsidR="003B3105" w:rsidRDefault="003B3105" w:rsidP="001E533B">
            <w:pPr>
              <w:rPr>
                <w:rFonts w:ascii="新細明體" w:eastAsia="新細明體" w:hAnsi="新細明體"/>
              </w:rPr>
            </w:pPr>
          </w:p>
        </w:tc>
        <w:tc>
          <w:tcPr>
            <w:tcW w:w="1276" w:type="dxa"/>
            <w:vMerge/>
          </w:tcPr>
          <w:p w14:paraId="2D11F08F" w14:textId="77777777" w:rsidR="003B3105" w:rsidRDefault="003B3105" w:rsidP="001E533B">
            <w:pPr>
              <w:rPr>
                <w:rFonts w:ascii="新細明體" w:eastAsia="新細明體" w:hAnsi="新細明體"/>
              </w:rPr>
            </w:pPr>
          </w:p>
        </w:tc>
        <w:tc>
          <w:tcPr>
            <w:tcW w:w="5386" w:type="dxa"/>
            <w:tcBorders>
              <w:top w:val="nil"/>
              <w:bottom w:val="nil"/>
            </w:tcBorders>
          </w:tcPr>
          <w:p w14:paraId="24466DF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5.公司僅得就自營部位或證券商管理規則第十八條之一第一項之轉投資方式擇一持有單一公司股份。</w:t>
            </w:r>
          </w:p>
        </w:tc>
        <w:tc>
          <w:tcPr>
            <w:tcW w:w="5387" w:type="dxa"/>
            <w:tcBorders>
              <w:top w:val="nil"/>
              <w:bottom w:val="nil"/>
            </w:tcBorders>
          </w:tcPr>
          <w:p w14:paraId="3CF5C2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5.公司僅得就自營部位或證券商管理規則第十八條之一第一項之轉投資方式擇一持有單一公司股份。</w:t>
            </w:r>
          </w:p>
        </w:tc>
        <w:tc>
          <w:tcPr>
            <w:tcW w:w="2023" w:type="dxa"/>
            <w:vMerge/>
            <w:tcBorders>
              <w:right w:val="single" w:sz="12" w:space="0" w:color="auto"/>
            </w:tcBorders>
          </w:tcPr>
          <w:p w14:paraId="3B468CC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CC1C77" w14:textId="77777777">
        <w:tc>
          <w:tcPr>
            <w:tcW w:w="1384" w:type="dxa"/>
            <w:vMerge/>
            <w:tcBorders>
              <w:left w:val="single" w:sz="12" w:space="0" w:color="auto"/>
            </w:tcBorders>
          </w:tcPr>
          <w:p w14:paraId="02002B47" w14:textId="77777777" w:rsidR="003B3105" w:rsidRDefault="003B3105" w:rsidP="001E533B">
            <w:pPr>
              <w:rPr>
                <w:rFonts w:ascii="新細明體" w:eastAsia="新細明體" w:hAnsi="新細明體"/>
              </w:rPr>
            </w:pPr>
          </w:p>
        </w:tc>
        <w:tc>
          <w:tcPr>
            <w:tcW w:w="1276" w:type="dxa"/>
            <w:vMerge/>
          </w:tcPr>
          <w:p w14:paraId="5B88F644" w14:textId="77777777" w:rsidR="003B3105" w:rsidRDefault="003B3105" w:rsidP="001E533B">
            <w:pPr>
              <w:rPr>
                <w:rFonts w:ascii="新細明體" w:eastAsia="新細明體" w:hAnsi="新細明體"/>
              </w:rPr>
            </w:pPr>
          </w:p>
        </w:tc>
        <w:tc>
          <w:tcPr>
            <w:tcW w:w="5386" w:type="dxa"/>
            <w:tcBorders>
              <w:top w:val="nil"/>
              <w:bottom w:val="nil"/>
            </w:tcBorders>
          </w:tcPr>
          <w:p w14:paraId="305C86B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6.有關自營商持有單一公司有價證券或某類型有價證券之數量規定，應於「買進前」，即先確認已持有數量加計預計買進數量，未超過所定額度。</w:t>
            </w:r>
          </w:p>
        </w:tc>
        <w:tc>
          <w:tcPr>
            <w:tcW w:w="5387" w:type="dxa"/>
            <w:tcBorders>
              <w:top w:val="nil"/>
              <w:bottom w:val="nil"/>
            </w:tcBorders>
          </w:tcPr>
          <w:p w14:paraId="68A9F10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6.有關自營商持有單一公司有價證券或某類型有價證券之數量規定，應於「買進前」，即先確認已持有數量加計預計買進數量，未超過所定額度。</w:t>
            </w:r>
          </w:p>
        </w:tc>
        <w:tc>
          <w:tcPr>
            <w:tcW w:w="2023" w:type="dxa"/>
            <w:vMerge/>
            <w:tcBorders>
              <w:right w:val="single" w:sz="12" w:space="0" w:color="auto"/>
            </w:tcBorders>
          </w:tcPr>
          <w:p w14:paraId="5A916B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F36012" w14:textId="77777777">
        <w:tc>
          <w:tcPr>
            <w:tcW w:w="1384" w:type="dxa"/>
            <w:vMerge/>
            <w:tcBorders>
              <w:left w:val="single" w:sz="12" w:space="0" w:color="auto"/>
            </w:tcBorders>
          </w:tcPr>
          <w:p w14:paraId="0C6CCD23" w14:textId="77777777" w:rsidR="003B3105" w:rsidRDefault="003B3105" w:rsidP="001E533B">
            <w:pPr>
              <w:rPr>
                <w:rFonts w:ascii="新細明體" w:eastAsia="新細明體" w:hAnsi="新細明體"/>
              </w:rPr>
            </w:pPr>
          </w:p>
        </w:tc>
        <w:tc>
          <w:tcPr>
            <w:tcW w:w="1276" w:type="dxa"/>
            <w:vMerge/>
          </w:tcPr>
          <w:p w14:paraId="45066B44" w14:textId="77777777" w:rsidR="003B3105" w:rsidRDefault="003B3105" w:rsidP="001E533B">
            <w:pPr>
              <w:rPr>
                <w:rFonts w:ascii="新細明體" w:eastAsia="新細明體" w:hAnsi="新細明體"/>
              </w:rPr>
            </w:pPr>
          </w:p>
        </w:tc>
        <w:tc>
          <w:tcPr>
            <w:tcW w:w="5386" w:type="dxa"/>
            <w:tcBorders>
              <w:top w:val="nil"/>
              <w:bottom w:val="nil"/>
            </w:tcBorders>
          </w:tcPr>
          <w:p w14:paraId="224DE858"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公司因承銷取得之有價證券，與依證券商管理規則第十九條第三項規定取得之有價證券併計，超過主管機關規定之限額者，其超過部分，應於取得後一年內，依「證券交易法」第七十五條之規定出售。</w:t>
            </w:r>
          </w:p>
        </w:tc>
        <w:tc>
          <w:tcPr>
            <w:tcW w:w="5387" w:type="dxa"/>
            <w:tcBorders>
              <w:top w:val="nil"/>
              <w:bottom w:val="nil"/>
            </w:tcBorders>
          </w:tcPr>
          <w:p w14:paraId="21D74D3D"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公司因承銷取得之有價證券，與依證券商管理規則第十九條第三項規定取得之有價證券併計，超過主管機關規定之限額者，其超過部分，應於取得後一年內，依「證券交易法」第七十五條之規定出售。</w:t>
            </w:r>
          </w:p>
        </w:tc>
        <w:tc>
          <w:tcPr>
            <w:tcW w:w="2023" w:type="dxa"/>
            <w:vMerge/>
            <w:tcBorders>
              <w:right w:val="single" w:sz="12" w:space="0" w:color="auto"/>
            </w:tcBorders>
          </w:tcPr>
          <w:p w14:paraId="5BBAEBC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501DF1" w14:textId="77777777">
        <w:tc>
          <w:tcPr>
            <w:tcW w:w="1384" w:type="dxa"/>
            <w:vMerge/>
            <w:tcBorders>
              <w:left w:val="single" w:sz="12" w:space="0" w:color="auto"/>
            </w:tcBorders>
          </w:tcPr>
          <w:p w14:paraId="0FB97047" w14:textId="77777777" w:rsidR="003B3105" w:rsidRDefault="003B3105" w:rsidP="001E533B">
            <w:pPr>
              <w:rPr>
                <w:rFonts w:ascii="新細明體" w:eastAsia="新細明體" w:hAnsi="新細明體"/>
              </w:rPr>
            </w:pPr>
          </w:p>
        </w:tc>
        <w:tc>
          <w:tcPr>
            <w:tcW w:w="1276" w:type="dxa"/>
            <w:vMerge/>
          </w:tcPr>
          <w:p w14:paraId="5815102F" w14:textId="77777777" w:rsidR="003B3105" w:rsidRDefault="003B3105" w:rsidP="001E533B">
            <w:pPr>
              <w:rPr>
                <w:rFonts w:ascii="新細明體" w:eastAsia="新細明體" w:hAnsi="新細明體"/>
              </w:rPr>
            </w:pPr>
          </w:p>
        </w:tc>
        <w:tc>
          <w:tcPr>
            <w:tcW w:w="5386" w:type="dxa"/>
            <w:tcBorders>
              <w:top w:val="nil"/>
              <w:bottom w:val="nil"/>
            </w:tcBorders>
          </w:tcPr>
          <w:p w14:paraId="3B1AC45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(四)信託投資公司自有資金投資於股票(不包括直接投資)應注意有無超過淨值之百分之三十。</w:t>
            </w:r>
          </w:p>
        </w:tc>
        <w:tc>
          <w:tcPr>
            <w:tcW w:w="5387" w:type="dxa"/>
            <w:tcBorders>
              <w:top w:val="nil"/>
              <w:bottom w:val="nil"/>
            </w:tcBorders>
          </w:tcPr>
          <w:p w14:paraId="0CEB6C0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(四)信託投資公司自有資金投資於股票(不包括直接投資)應注意有無超過淨值之百分之三十。</w:t>
            </w:r>
          </w:p>
        </w:tc>
        <w:tc>
          <w:tcPr>
            <w:tcW w:w="2023" w:type="dxa"/>
            <w:vMerge/>
            <w:tcBorders>
              <w:right w:val="single" w:sz="12" w:space="0" w:color="auto"/>
            </w:tcBorders>
          </w:tcPr>
          <w:p w14:paraId="3E9C901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00024DE" w14:textId="77777777">
        <w:tc>
          <w:tcPr>
            <w:tcW w:w="1384" w:type="dxa"/>
            <w:vMerge/>
            <w:tcBorders>
              <w:left w:val="single" w:sz="12" w:space="0" w:color="auto"/>
            </w:tcBorders>
          </w:tcPr>
          <w:p w14:paraId="779975BF" w14:textId="77777777" w:rsidR="003B3105" w:rsidRDefault="003B3105" w:rsidP="001E533B">
            <w:pPr>
              <w:rPr>
                <w:rFonts w:ascii="新細明體" w:eastAsia="新細明體" w:hAnsi="新細明體"/>
              </w:rPr>
            </w:pPr>
          </w:p>
        </w:tc>
        <w:tc>
          <w:tcPr>
            <w:tcW w:w="1276" w:type="dxa"/>
            <w:vMerge/>
          </w:tcPr>
          <w:p w14:paraId="5547205D" w14:textId="77777777" w:rsidR="003B3105" w:rsidRDefault="003B3105" w:rsidP="001E533B">
            <w:pPr>
              <w:rPr>
                <w:rFonts w:ascii="新細明體" w:eastAsia="新細明體" w:hAnsi="新細明體"/>
              </w:rPr>
            </w:pPr>
          </w:p>
        </w:tc>
        <w:tc>
          <w:tcPr>
            <w:tcW w:w="5386" w:type="dxa"/>
            <w:tcBorders>
              <w:top w:val="nil"/>
              <w:bottom w:val="nil"/>
            </w:tcBorders>
          </w:tcPr>
          <w:p w14:paraId="24B172E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(五)經營自行買賣業務，不得利用受託買賣之資訊對同一之買賣為相反之自行買賣。</w:t>
            </w:r>
          </w:p>
        </w:tc>
        <w:tc>
          <w:tcPr>
            <w:tcW w:w="5387" w:type="dxa"/>
            <w:tcBorders>
              <w:top w:val="nil"/>
              <w:bottom w:val="nil"/>
            </w:tcBorders>
          </w:tcPr>
          <w:p w14:paraId="469260C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(五)經營自行買賣業務，不得利用受託買賣之資訊對同一之買賣為相反之自行買賣。</w:t>
            </w:r>
          </w:p>
        </w:tc>
        <w:tc>
          <w:tcPr>
            <w:tcW w:w="2023" w:type="dxa"/>
            <w:vMerge/>
            <w:tcBorders>
              <w:right w:val="single" w:sz="12" w:space="0" w:color="auto"/>
            </w:tcBorders>
          </w:tcPr>
          <w:p w14:paraId="7896E5F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CCF2C1" w14:textId="77777777">
        <w:tc>
          <w:tcPr>
            <w:tcW w:w="1384" w:type="dxa"/>
            <w:vMerge/>
            <w:tcBorders>
              <w:left w:val="single" w:sz="12" w:space="0" w:color="auto"/>
            </w:tcBorders>
          </w:tcPr>
          <w:p w14:paraId="30933C14" w14:textId="77777777" w:rsidR="003B3105" w:rsidRDefault="003B3105" w:rsidP="001E533B">
            <w:pPr>
              <w:rPr>
                <w:rFonts w:ascii="新細明體" w:eastAsia="新細明體" w:hAnsi="新細明體"/>
              </w:rPr>
            </w:pPr>
          </w:p>
        </w:tc>
        <w:tc>
          <w:tcPr>
            <w:tcW w:w="1276" w:type="dxa"/>
            <w:vMerge/>
          </w:tcPr>
          <w:p w14:paraId="1B74A688" w14:textId="77777777" w:rsidR="003B3105" w:rsidRDefault="003B3105" w:rsidP="001E533B">
            <w:pPr>
              <w:rPr>
                <w:rFonts w:ascii="新細明體" w:eastAsia="新細明體" w:hAnsi="新細明體"/>
              </w:rPr>
            </w:pPr>
          </w:p>
        </w:tc>
        <w:tc>
          <w:tcPr>
            <w:tcW w:w="5386" w:type="dxa"/>
            <w:tcBorders>
              <w:top w:val="nil"/>
              <w:bottom w:val="nil"/>
            </w:tcBorders>
          </w:tcPr>
          <w:p w14:paraId="65256C0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(六)金融機構兼營者，其以自有資金與信託資金在同一日內作同一有價證券之相反自行買賣，應依「銀行法」第一百零八條規定辦理，並報經主管機關備查。</w:t>
            </w:r>
          </w:p>
        </w:tc>
        <w:tc>
          <w:tcPr>
            <w:tcW w:w="5387" w:type="dxa"/>
            <w:tcBorders>
              <w:top w:val="nil"/>
              <w:bottom w:val="nil"/>
            </w:tcBorders>
          </w:tcPr>
          <w:p w14:paraId="67ADF9F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(六)金融機構兼營者，其以自有資金與信託資金在同一日內作同一有價證券之相反自行買賣，應依「銀行法」第一百零八條規定辦理，並報經主管機關備查。</w:t>
            </w:r>
          </w:p>
        </w:tc>
        <w:tc>
          <w:tcPr>
            <w:tcW w:w="2023" w:type="dxa"/>
            <w:vMerge/>
            <w:tcBorders>
              <w:right w:val="single" w:sz="12" w:space="0" w:color="auto"/>
            </w:tcBorders>
          </w:tcPr>
          <w:p w14:paraId="185C80F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0B3F08" w14:textId="77777777">
        <w:tc>
          <w:tcPr>
            <w:tcW w:w="1384" w:type="dxa"/>
            <w:vMerge/>
            <w:tcBorders>
              <w:left w:val="single" w:sz="12" w:space="0" w:color="auto"/>
            </w:tcBorders>
          </w:tcPr>
          <w:p w14:paraId="64899A39" w14:textId="77777777" w:rsidR="003B3105" w:rsidRDefault="003B3105" w:rsidP="001E533B">
            <w:pPr>
              <w:rPr>
                <w:rFonts w:ascii="新細明體" w:eastAsia="新細明體" w:hAnsi="新細明體"/>
              </w:rPr>
            </w:pPr>
          </w:p>
        </w:tc>
        <w:tc>
          <w:tcPr>
            <w:tcW w:w="1276" w:type="dxa"/>
            <w:vMerge/>
          </w:tcPr>
          <w:p w14:paraId="0DEE5AD2" w14:textId="77777777" w:rsidR="003B3105" w:rsidRDefault="003B3105" w:rsidP="001E533B">
            <w:pPr>
              <w:rPr>
                <w:rFonts w:ascii="新細明體" w:eastAsia="新細明體" w:hAnsi="新細明體"/>
              </w:rPr>
            </w:pPr>
          </w:p>
        </w:tc>
        <w:tc>
          <w:tcPr>
            <w:tcW w:w="5386" w:type="dxa"/>
            <w:tcBorders>
              <w:top w:val="nil"/>
              <w:bottom w:val="nil"/>
            </w:tcBorders>
          </w:tcPr>
          <w:p w14:paraId="0C1EE32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(七)自營部門不得直接或間接受他人委託在集中交易市場買賣證券；且除為公司股份之認股人(公司得依公司法第二百六十七條規定以原股東身分，按持股比例承購上市、上櫃及興櫃公司現金增資股票，並應確實</w:t>
            </w:r>
            <w:r>
              <w:rPr>
                <w:rFonts w:ascii="新細明體" w:eastAsia="新細明體" w:hAnsi="新細明體" w:cs="新細明體" w:hint="eastAsia"/>
              </w:rPr>
              <w:lastRenderedPageBreak/>
              <w:t>遵守「證券商管理規則」第十九條第一項第一款至第三款規定)或公司債之認募人外，自行買賣上市證券限於在集中交易市場為之，除經主管機關核可者外，不得委託證券經紀商代為買賣。</w:t>
            </w:r>
          </w:p>
        </w:tc>
        <w:tc>
          <w:tcPr>
            <w:tcW w:w="5387" w:type="dxa"/>
            <w:tcBorders>
              <w:top w:val="nil"/>
              <w:bottom w:val="nil"/>
            </w:tcBorders>
          </w:tcPr>
          <w:p w14:paraId="17FD709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(七)自營部門不得直接或間接受他人委託在集中交易市場買賣證券；且除為公司股份之認股人(公司得依公司法第二百六十七條規定以原股東身分，按持股比例承購上市、上櫃及興櫃公司現金增資股票，並應確實</w:t>
            </w:r>
            <w:r>
              <w:rPr>
                <w:rFonts w:ascii="新細明體" w:eastAsia="新細明體" w:hAnsi="新細明體" w:cs="新細明體" w:hint="eastAsia"/>
              </w:rPr>
              <w:lastRenderedPageBreak/>
              <w:t>遵守「證券商管理規則」第十九條第一項第一款至第三款規定)或公司債之認募人外，自行買賣上市證券限於在集中交易市場為之，除經主管機關核可者外，不得委託證券經紀商代為買賣。</w:t>
            </w:r>
          </w:p>
        </w:tc>
        <w:tc>
          <w:tcPr>
            <w:tcW w:w="2023" w:type="dxa"/>
            <w:vMerge/>
            <w:tcBorders>
              <w:right w:val="single" w:sz="12" w:space="0" w:color="auto"/>
            </w:tcBorders>
          </w:tcPr>
          <w:p w14:paraId="70D427E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1A7F9D" w14:textId="77777777">
        <w:tc>
          <w:tcPr>
            <w:tcW w:w="1384" w:type="dxa"/>
            <w:vMerge/>
            <w:tcBorders>
              <w:left w:val="single" w:sz="12" w:space="0" w:color="auto"/>
            </w:tcBorders>
          </w:tcPr>
          <w:p w14:paraId="487DCA48" w14:textId="77777777" w:rsidR="003B3105" w:rsidRDefault="003B3105" w:rsidP="001E533B">
            <w:pPr>
              <w:rPr>
                <w:rFonts w:ascii="新細明體" w:eastAsia="新細明體" w:hAnsi="新細明體"/>
              </w:rPr>
            </w:pPr>
          </w:p>
        </w:tc>
        <w:tc>
          <w:tcPr>
            <w:tcW w:w="1276" w:type="dxa"/>
            <w:vMerge/>
          </w:tcPr>
          <w:p w14:paraId="1CC604B9" w14:textId="77777777" w:rsidR="003B3105" w:rsidRDefault="003B3105" w:rsidP="001E533B">
            <w:pPr>
              <w:rPr>
                <w:rFonts w:ascii="新細明體" w:eastAsia="新細明體" w:hAnsi="新細明體"/>
              </w:rPr>
            </w:pPr>
          </w:p>
        </w:tc>
        <w:tc>
          <w:tcPr>
            <w:tcW w:w="5386" w:type="dxa"/>
            <w:tcBorders>
              <w:top w:val="nil"/>
              <w:bottom w:val="nil"/>
            </w:tcBorders>
          </w:tcPr>
          <w:p w14:paraId="73AFFB8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(八)公司兼營承銷業務時，自營部門於承銷期間不得為自己取得所包銷或代銷之有價證券。</w:t>
            </w:r>
          </w:p>
        </w:tc>
        <w:tc>
          <w:tcPr>
            <w:tcW w:w="5387" w:type="dxa"/>
            <w:tcBorders>
              <w:top w:val="nil"/>
              <w:bottom w:val="nil"/>
            </w:tcBorders>
          </w:tcPr>
          <w:p w14:paraId="41507CF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(八)公司兼營承銷業務時，自營部門於承銷期間不得為自己取得所包銷或代銷之有價證券。</w:t>
            </w:r>
          </w:p>
        </w:tc>
        <w:tc>
          <w:tcPr>
            <w:tcW w:w="2023" w:type="dxa"/>
            <w:vMerge/>
            <w:tcBorders>
              <w:right w:val="single" w:sz="12" w:space="0" w:color="auto"/>
            </w:tcBorders>
          </w:tcPr>
          <w:p w14:paraId="47D63E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74239F" w14:textId="77777777">
        <w:tc>
          <w:tcPr>
            <w:tcW w:w="1384" w:type="dxa"/>
            <w:vMerge/>
            <w:tcBorders>
              <w:left w:val="single" w:sz="12" w:space="0" w:color="auto"/>
            </w:tcBorders>
          </w:tcPr>
          <w:p w14:paraId="709E54AB" w14:textId="77777777" w:rsidR="003B3105" w:rsidRDefault="003B3105" w:rsidP="001E533B">
            <w:pPr>
              <w:rPr>
                <w:rFonts w:ascii="新細明體" w:eastAsia="新細明體" w:hAnsi="新細明體"/>
              </w:rPr>
            </w:pPr>
          </w:p>
        </w:tc>
        <w:tc>
          <w:tcPr>
            <w:tcW w:w="1276" w:type="dxa"/>
            <w:vMerge/>
          </w:tcPr>
          <w:p w14:paraId="05230B87" w14:textId="77777777" w:rsidR="003B3105" w:rsidRDefault="003B3105" w:rsidP="001E533B">
            <w:pPr>
              <w:rPr>
                <w:rFonts w:ascii="新細明體" w:eastAsia="新細明體" w:hAnsi="新細明體"/>
              </w:rPr>
            </w:pPr>
          </w:p>
        </w:tc>
        <w:tc>
          <w:tcPr>
            <w:tcW w:w="5386" w:type="dxa"/>
            <w:tcBorders>
              <w:top w:val="nil"/>
              <w:bottom w:val="nil"/>
            </w:tcBorders>
          </w:tcPr>
          <w:p w14:paraId="2C7DEC2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(九)公司除經主管機關核准之轉投資事業外，其取得它公司股份股權之行使應基於公司之最大利益，不得直接或間接參與該發行公司經營或有不當之安排情事。</w:t>
            </w:r>
          </w:p>
        </w:tc>
        <w:tc>
          <w:tcPr>
            <w:tcW w:w="5387" w:type="dxa"/>
            <w:tcBorders>
              <w:top w:val="nil"/>
              <w:bottom w:val="nil"/>
            </w:tcBorders>
          </w:tcPr>
          <w:p w14:paraId="75DA1B5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(九)公司除經主管機關核准之轉投資事業外，其取得它公司股份股權之行使應基於公司之最大利益，不得直接或間接參與該發行公司經營或有不當之安排情事。</w:t>
            </w:r>
          </w:p>
        </w:tc>
        <w:tc>
          <w:tcPr>
            <w:tcW w:w="2023" w:type="dxa"/>
            <w:vMerge/>
            <w:tcBorders>
              <w:right w:val="single" w:sz="12" w:space="0" w:color="auto"/>
            </w:tcBorders>
          </w:tcPr>
          <w:p w14:paraId="4B56C94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B9A638" w14:textId="77777777">
        <w:tc>
          <w:tcPr>
            <w:tcW w:w="1384" w:type="dxa"/>
            <w:vMerge/>
            <w:tcBorders>
              <w:left w:val="single" w:sz="12" w:space="0" w:color="auto"/>
            </w:tcBorders>
          </w:tcPr>
          <w:p w14:paraId="11877683" w14:textId="77777777" w:rsidR="003B3105" w:rsidRDefault="003B3105" w:rsidP="001E533B">
            <w:pPr>
              <w:rPr>
                <w:rFonts w:ascii="新細明體" w:eastAsia="新細明體" w:hAnsi="新細明體"/>
              </w:rPr>
            </w:pPr>
          </w:p>
        </w:tc>
        <w:tc>
          <w:tcPr>
            <w:tcW w:w="1276" w:type="dxa"/>
            <w:vMerge/>
          </w:tcPr>
          <w:p w14:paraId="14DA3AB6" w14:textId="77777777" w:rsidR="003B3105" w:rsidRDefault="003B3105" w:rsidP="001E533B">
            <w:pPr>
              <w:rPr>
                <w:rFonts w:ascii="新細明體" w:eastAsia="新細明體" w:hAnsi="新細明體"/>
              </w:rPr>
            </w:pPr>
          </w:p>
        </w:tc>
        <w:tc>
          <w:tcPr>
            <w:tcW w:w="5386" w:type="dxa"/>
            <w:tcBorders>
              <w:top w:val="nil"/>
              <w:bottom w:val="nil"/>
            </w:tcBorders>
          </w:tcPr>
          <w:p w14:paraId="130B17A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(十)依據「證券交易法」第15條第2款規定，公司得購買之投資標的，應依主管機關11</w:t>
            </w:r>
            <w:r>
              <w:rPr>
                <w:rFonts w:ascii="新細明體" w:eastAsia="新細明體" w:hAnsi="新細明體" w:cs="新細明體" w:hint="eastAsia"/>
                <w:b/>
                <w:color w:val="FF0000"/>
                <w:u w:val="single"/>
              </w:rPr>
              <w:t>4</w:t>
            </w:r>
            <w:r>
              <w:rPr>
                <w:rFonts w:ascii="新細明體" w:eastAsia="新細明體" w:hAnsi="新細明體" w:cs="新細明體" w:hint="eastAsia"/>
              </w:rPr>
              <w:t>年</w:t>
            </w:r>
            <w:r>
              <w:rPr>
                <w:rFonts w:ascii="新細明體" w:eastAsia="新細明體" w:hAnsi="新細明體" w:cs="新細明體" w:hint="eastAsia"/>
                <w:b/>
                <w:color w:val="FF0000"/>
                <w:u w:val="single"/>
              </w:rPr>
              <w:t>4</w:t>
            </w:r>
            <w:r>
              <w:rPr>
                <w:rFonts w:ascii="新細明體" w:eastAsia="新細明體" w:hAnsi="新細明體" w:cs="新細明體" w:hint="eastAsia"/>
              </w:rPr>
              <w:t>月2</w:t>
            </w:r>
            <w:r>
              <w:rPr>
                <w:rFonts w:ascii="新細明體" w:eastAsia="新細明體" w:hAnsi="新細明體" w:cs="新細明體" w:hint="eastAsia"/>
                <w:b/>
                <w:color w:val="FF0000"/>
                <w:u w:val="single"/>
              </w:rPr>
              <w:t>3</w:t>
            </w:r>
            <w:r>
              <w:rPr>
                <w:rFonts w:ascii="新細明體" w:eastAsia="新細明體" w:hAnsi="新細明體" w:cs="新細明體" w:hint="eastAsia"/>
              </w:rPr>
              <w:t>日金管證券字第11</w:t>
            </w:r>
            <w:r>
              <w:rPr>
                <w:rFonts w:ascii="新細明體" w:eastAsia="新細明體" w:hAnsi="新細明體" w:cs="新細明體" w:hint="eastAsia"/>
                <w:b/>
                <w:color w:val="FF0000"/>
                <w:u w:val="single"/>
              </w:rPr>
              <w:t>4</w:t>
            </w:r>
            <w:r>
              <w:rPr>
                <w:rFonts w:ascii="新細明體" w:eastAsia="新細明體" w:hAnsi="新細明體" w:cs="新細明體" w:hint="eastAsia"/>
              </w:rPr>
              <w:t>03</w:t>
            </w:r>
            <w:r>
              <w:rPr>
                <w:rFonts w:ascii="新細明體" w:eastAsia="新細明體" w:hAnsi="新細明體" w:cs="新細明體" w:hint="eastAsia"/>
                <w:b/>
                <w:color w:val="FF0000"/>
                <w:u w:val="single"/>
              </w:rPr>
              <w:t>814</w:t>
            </w:r>
            <w:r>
              <w:rPr>
                <w:rFonts w:ascii="新細明體" w:eastAsia="新細明體" w:hAnsi="新細明體" w:cs="新細明體" w:hint="eastAsia"/>
              </w:rPr>
              <w:t>81號令及</w:t>
            </w:r>
            <w:r>
              <w:rPr>
                <w:rFonts w:ascii="新細明體" w:eastAsia="新細明體" w:hAnsi="新細明體" w:cs="新細明體" w:hint="eastAsia"/>
                <w:b/>
                <w:color w:val="FF0000"/>
                <w:u w:val="single"/>
              </w:rPr>
              <w:t>11</w:t>
            </w:r>
            <w:r>
              <w:rPr>
                <w:rFonts w:ascii="新細明體" w:eastAsia="新細明體" w:hAnsi="新細明體" w:cs="新細明體" w:hint="eastAsia"/>
              </w:rPr>
              <w:t>2年</w:t>
            </w:r>
            <w:r>
              <w:rPr>
                <w:rFonts w:ascii="新細明體" w:eastAsia="新細明體" w:hAnsi="新細明體" w:cs="新細明體" w:hint="eastAsia"/>
                <w:b/>
                <w:color w:val="FF0000"/>
                <w:u w:val="single"/>
              </w:rPr>
              <w:t>10</w:t>
            </w:r>
            <w:r>
              <w:rPr>
                <w:rFonts w:ascii="新細明體" w:eastAsia="新細明體" w:hAnsi="新細明體" w:cs="新細明體" w:hint="eastAsia"/>
              </w:rPr>
              <w:t>月</w:t>
            </w:r>
            <w:r>
              <w:rPr>
                <w:rFonts w:ascii="新細明體" w:eastAsia="新細明體" w:hAnsi="新細明體" w:cs="新細明體" w:hint="eastAsia"/>
                <w:b/>
                <w:color w:val="FF0000"/>
                <w:u w:val="single"/>
              </w:rPr>
              <w:t>1</w:t>
            </w:r>
            <w:r>
              <w:rPr>
                <w:rFonts w:ascii="新細明體" w:eastAsia="新細明體" w:hAnsi="新細明體" w:cs="新細明體" w:hint="eastAsia"/>
              </w:rPr>
              <w:t>7日</w:t>
            </w:r>
            <w:r>
              <w:rPr>
                <w:rFonts w:ascii="新細明體" w:eastAsia="新細明體" w:hAnsi="新細明體" w:cs="新細明體" w:hint="eastAsia"/>
                <w:b/>
                <w:color w:val="FF0000"/>
                <w:u w:val="single"/>
              </w:rPr>
              <w:t>金管</w:t>
            </w:r>
            <w:r>
              <w:rPr>
                <w:rFonts w:ascii="新細明體" w:eastAsia="新細明體" w:hAnsi="新細明體" w:cs="新細明體" w:hint="eastAsia"/>
              </w:rPr>
              <w:t>證</w:t>
            </w:r>
            <w:r>
              <w:rPr>
                <w:rFonts w:ascii="新細明體" w:eastAsia="新細明體" w:hAnsi="新細明體" w:cs="新細明體" w:hint="eastAsia"/>
                <w:b/>
                <w:color w:val="FF0000"/>
                <w:u w:val="single"/>
              </w:rPr>
              <w:t>券</w:t>
            </w:r>
            <w:r>
              <w:rPr>
                <w:rFonts w:ascii="新細明體" w:eastAsia="新細明體" w:hAnsi="新細明體" w:cs="新細明體" w:hint="eastAsia"/>
              </w:rPr>
              <w:t>字第</w:t>
            </w:r>
            <w:r>
              <w:rPr>
                <w:rFonts w:ascii="新細明體" w:eastAsia="新細明體" w:hAnsi="新細明體" w:cs="新細明體" w:hint="eastAsia"/>
                <w:b/>
                <w:color w:val="FF0000"/>
                <w:u w:val="single"/>
              </w:rPr>
              <w:t>11</w:t>
            </w:r>
            <w:r>
              <w:rPr>
                <w:rFonts w:ascii="新細明體" w:eastAsia="新細明體" w:hAnsi="新細明體" w:cs="新細明體" w:hint="eastAsia"/>
              </w:rPr>
              <w:t>20</w:t>
            </w:r>
            <w:r>
              <w:rPr>
                <w:rFonts w:ascii="新細明體" w:eastAsia="新細明體" w:hAnsi="新細明體" w:cs="新細明體" w:hint="eastAsia"/>
                <w:b/>
                <w:color w:val="FF0000"/>
                <w:u w:val="single"/>
              </w:rPr>
              <w:t>38</w:t>
            </w:r>
            <w:r>
              <w:rPr>
                <w:rFonts w:ascii="新細明體" w:eastAsia="新細明體" w:hAnsi="新細明體" w:cs="新細明體" w:hint="eastAsia"/>
              </w:rPr>
              <w:t>4</w:t>
            </w:r>
            <w:r>
              <w:rPr>
                <w:rFonts w:ascii="新細明體" w:eastAsia="新細明體" w:hAnsi="新細明體" w:cs="新細明體" w:hint="eastAsia"/>
                <w:b/>
                <w:color w:val="FF0000"/>
                <w:u w:val="single"/>
              </w:rPr>
              <w:t>356</w:t>
            </w:r>
            <w:r>
              <w:rPr>
                <w:rFonts w:ascii="新細明體" w:eastAsia="新細明體" w:hAnsi="新細明體" w:cs="新細明體" w:hint="eastAsia"/>
              </w:rPr>
              <w:t>號</w:t>
            </w:r>
            <w:r>
              <w:rPr>
                <w:rFonts w:ascii="新細明體" w:eastAsia="新細明體" w:hAnsi="新細明體" w:cs="新細明體" w:hint="eastAsia"/>
                <w:b/>
                <w:color w:val="FF0000"/>
                <w:u w:val="single"/>
              </w:rPr>
              <w:t>令</w:t>
            </w:r>
            <w:r>
              <w:rPr>
                <w:rFonts w:ascii="新細明體" w:eastAsia="新細明體" w:hAnsi="新細明體" w:cs="新細明體" w:hint="eastAsia"/>
              </w:rPr>
              <w:t>下列規定辦理：</w:t>
            </w:r>
          </w:p>
        </w:tc>
        <w:tc>
          <w:tcPr>
            <w:tcW w:w="5387" w:type="dxa"/>
            <w:tcBorders>
              <w:top w:val="nil"/>
              <w:bottom w:val="nil"/>
            </w:tcBorders>
          </w:tcPr>
          <w:p w14:paraId="2B97631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(十)依據「證券交易法」第15條第2款規定，公司得購買之投資標的，應依主管機關</w:t>
            </w:r>
            <w:r>
              <w:rPr>
                <w:rFonts w:ascii="新細明體" w:eastAsia="新細明體" w:hAnsi="新細明體" w:cs="新細明體" w:hint="eastAsia"/>
                <w:b/>
                <w:color w:val="FF0000"/>
              </w:rPr>
              <w:t>1</w:t>
            </w:r>
            <w:r>
              <w:rPr>
                <w:rFonts w:ascii="新細明體" w:eastAsia="新細明體" w:hAnsi="新細明體" w:cs="新細明體" w:hint="eastAsia"/>
              </w:rPr>
              <w:t>11年</w:t>
            </w:r>
            <w:r>
              <w:rPr>
                <w:rFonts w:ascii="新細明體" w:eastAsia="新細明體" w:hAnsi="新細明體" w:cs="新細明體" w:hint="eastAsia"/>
                <w:b/>
                <w:color w:val="FF0000"/>
              </w:rPr>
              <w:t>3</w:t>
            </w:r>
            <w:r>
              <w:rPr>
                <w:rFonts w:ascii="新細明體" w:eastAsia="新細明體" w:hAnsi="新細明體" w:cs="新細明體" w:hint="eastAsia"/>
              </w:rPr>
              <w:t>月2</w:t>
            </w:r>
            <w:r>
              <w:rPr>
                <w:rFonts w:ascii="新細明體" w:eastAsia="新細明體" w:hAnsi="新細明體" w:cs="新細明體" w:hint="eastAsia"/>
                <w:b/>
                <w:color w:val="FF0000"/>
              </w:rPr>
              <w:t>1</w:t>
            </w:r>
            <w:r>
              <w:rPr>
                <w:rFonts w:ascii="新細明體" w:eastAsia="新細明體" w:hAnsi="新細明體" w:cs="新細明體" w:hint="eastAsia"/>
              </w:rPr>
              <w:t>日金管證券字第</w:t>
            </w:r>
            <w:r>
              <w:rPr>
                <w:rFonts w:ascii="新細明體" w:eastAsia="新細明體" w:hAnsi="新細明體" w:cs="新細明體" w:hint="eastAsia"/>
                <w:b/>
                <w:color w:val="FF0000"/>
              </w:rPr>
              <w:t>1</w:t>
            </w:r>
            <w:r>
              <w:rPr>
                <w:rFonts w:ascii="新細明體" w:eastAsia="新細明體" w:hAnsi="新細明體" w:cs="新細明體" w:hint="eastAsia"/>
              </w:rPr>
              <w:t>110381</w:t>
            </w:r>
            <w:r>
              <w:rPr>
                <w:rFonts w:ascii="新細明體" w:eastAsia="新細明體" w:hAnsi="新細明體" w:cs="新細明體" w:hint="eastAsia"/>
                <w:b/>
                <w:color w:val="FF0000"/>
              </w:rPr>
              <w:t>062</w:t>
            </w:r>
            <w:r>
              <w:rPr>
                <w:rFonts w:ascii="新細明體" w:eastAsia="新細明體" w:hAnsi="新細明體" w:cs="新細明體" w:hint="eastAsia"/>
              </w:rPr>
              <w:t>號令及</w:t>
            </w:r>
            <w:r>
              <w:rPr>
                <w:rFonts w:ascii="新細明體" w:eastAsia="新細明體" w:hAnsi="新細明體" w:cs="新細明體" w:hint="eastAsia"/>
                <w:b/>
                <w:color w:val="FF0000"/>
              </w:rPr>
              <w:t>9</w:t>
            </w:r>
            <w:r>
              <w:rPr>
                <w:rFonts w:ascii="新細明體" w:eastAsia="新細明體" w:hAnsi="新細明體" w:cs="新細明體" w:hint="eastAsia"/>
              </w:rPr>
              <w:t>2年</w:t>
            </w:r>
            <w:r>
              <w:rPr>
                <w:rFonts w:ascii="新細明體" w:eastAsia="新細明體" w:hAnsi="新細明體" w:cs="新細明體" w:hint="eastAsia"/>
                <w:b/>
                <w:color w:val="FF0000"/>
              </w:rPr>
              <w:t>3</w:t>
            </w:r>
            <w:r>
              <w:rPr>
                <w:rFonts w:ascii="新細明體" w:eastAsia="新細明體" w:hAnsi="新細明體" w:cs="新細明體" w:hint="eastAsia"/>
              </w:rPr>
              <w:t>月</w:t>
            </w:r>
            <w:r>
              <w:rPr>
                <w:rFonts w:ascii="新細明體" w:eastAsia="新細明體" w:hAnsi="新細明體" w:cs="新細明體" w:hint="eastAsia"/>
                <w:b/>
                <w:color w:val="FF0000"/>
              </w:rPr>
              <w:t>2</w:t>
            </w:r>
            <w:r>
              <w:rPr>
                <w:rFonts w:ascii="新細明體" w:eastAsia="新細明體" w:hAnsi="新細明體" w:cs="新細明體" w:hint="eastAsia"/>
              </w:rPr>
              <w:t>7日</w:t>
            </w:r>
            <w:r>
              <w:rPr>
                <w:rFonts w:ascii="新細明體" w:eastAsia="新細明體" w:hAnsi="新細明體" w:cs="新細明體" w:hint="eastAsia"/>
                <w:b/>
                <w:color w:val="FF0000"/>
              </w:rPr>
              <w:t>台財</w:t>
            </w:r>
            <w:r>
              <w:rPr>
                <w:rFonts w:ascii="新細明體" w:eastAsia="新細明體" w:hAnsi="新細明體" w:cs="新細明體" w:hint="eastAsia"/>
              </w:rPr>
              <w:t>證</w:t>
            </w:r>
            <w:r>
              <w:rPr>
                <w:rFonts w:ascii="新細明體" w:eastAsia="新細明體" w:hAnsi="新細明體" w:cs="新細明體" w:hint="eastAsia"/>
                <w:b/>
                <w:color w:val="FF0000"/>
              </w:rPr>
              <w:t>二</w:t>
            </w:r>
            <w:r>
              <w:rPr>
                <w:rFonts w:ascii="新細明體" w:eastAsia="新細明體" w:hAnsi="新細明體" w:cs="新細明體" w:hint="eastAsia"/>
              </w:rPr>
              <w:t>字第</w:t>
            </w:r>
            <w:r>
              <w:rPr>
                <w:rFonts w:ascii="新細明體" w:eastAsia="新細明體" w:hAnsi="新細明體" w:cs="新細明體" w:hint="eastAsia"/>
                <w:b/>
                <w:color w:val="FF0000"/>
              </w:rPr>
              <w:t>09</w:t>
            </w:r>
            <w:r>
              <w:rPr>
                <w:rFonts w:ascii="新細明體" w:eastAsia="新細明體" w:hAnsi="新細明體" w:cs="新細明體" w:hint="eastAsia"/>
              </w:rPr>
              <w:t>20</w:t>
            </w:r>
            <w:r>
              <w:rPr>
                <w:rFonts w:ascii="新細明體" w:eastAsia="新細明體" w:hAnsi="新細明體" w:cs="新細明體" w:hint="eastAsia"/>
                <w:b/>
                <w:color w:val="FF0000"/>
              </w:rPr>
              <w:t>100</w:t>
            </w:r>
            <w:r>
              <w:rPr>
                <w:rFonts w:ascii="新細明體" w:eastAsia="新細明體" w:hAnsi="新細明體" w:cs="新細明體" w:hint="eastAsia"/>
              </w:rPr>
              <w:t>4</w:t>
            </w:r>
            <w:r>
              <w:rPr>
                <w:rFonts w:ascii="新細明體" w:eastAsia="新細明體" w:hAnsi="新細明體" w:cs="新細明體" w:hint="eastAsia"/>
                <w:b/>
                <w:color w:val="FF0000"/>
              </w:rPr>
              <w:t>79</w:t>
            </w:r>
            <w:r>
              <w:rPr>
                <w:rFonts w:ascii="新細明體" w:eastAsia="新細明體" w:hAnsi="新細明體" w:cs="新細明體" w:hint="eastAsia"/>
              </w:rPr>
              <w:t>號</w:t>
            </w:r>
            <w:r>
              <w:rPr>
                <w:rFonts w:ascii="新細明體" w:eastAsia="新細明體" w:hAnsi="新細明體" w:cs="新細明體" w:hint="eastAsia"/>
                <w:b/>
                <w:color w:val="FF0000"/>
              </w:rPr>
              <w:t>函</w:t>
            </w:r>
            <w:r>
              <w:rPr>
                <w:rFonts w:ascii="新細明體" w:eastAsia="新細明體" w:hAnsi="新細明體" w:cs="新細明體" w:hint="eastAsia"/>
              </w:rPr>
              <w:t>下列規定辦理：</w:t>
            </w:r>
          </w:p>
        </w:tc>
        <w:tc>
          <w:tcPr>
            <w:tcW w:w="2023" w:type="dxa"/>
            <w:vMerge/>
            <w:tcBorders>
              <w:right w:val="single" w:sz="12" w:space="0" w:color="auto"/>
            </w:tcBorders>
          </w:tcPr>
          <w:p w14:paraId="69C077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28D670" w14:textId="77777777">
        <w:tc>
          <w:tcPr>
            <w:tcW w:w="1384" w:type="dxa"/>
            <w:vMerge/>
            <w:tcBorders>
              <w:left w:val="single" w:sz="12" w:space="0" w:color="auto"/>
            </w:tcBorders>
          </w:tcPr>
          <w:p w14:paraId="482A6033" w14:textId="77777777" w:rsidR="003B3105" w:rsidRDefault="003B3105" w:rsidP="001E533B">
            <w:pPr>
              <w:rPr>
                <w:rFonts w:ascii="新細明體" w:eastAsia="新細明體" w:hAnsi="新細明體"/>
              </w:rPr>
            </w:pPr>
          </w:p>
        </w:tc>
        <w:tc>
          <w:tcPr>
            <w:tcW w:w="1276" w:type="dxa"/>
            <w:vMerge/>
          </w:tcPr>
          <w:p w14:paraId="1CB964AA" w14:textId="77777777" w:rsidR="003B3105" w:rsidRDefault="003B3105" w:rsidP="001E533B">
            <w:pPr>
              <w:rPr>
                <w:rFonts w:ascii="新細明體" w:eastAsia="新細明體" w:hAnsi="新細明體"/>
              </w:rPr>
            </w:pPr>
          </w:p>
        </w:tc>
        <w:tc>
          <w:tcPr>
            <w:tcW w:w="5386" w:type="dxa"/>
            <w:tcBorders>
              <w:top w:val="nil"/>
              <w:bottom w:val="nil"/>
            </w:tcBorders>
          </w:tcPr>
          <w:p w14:paraId="0F5782F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1.得購買下列投資標的：</w:t>
            </w:r>
          </w:p>
        </w:tc>
        <w:tc>
          <w:tcPr>
            <w:tcW w:w="5387" w:type="dxa"/>
            <w:tcBorders>
              <w:top w:val="nil"/>
              <w:bottom w:val="nil"/>
            </w:tcBorders>
          </w:tcPr>
          <w:p w14:paraId="2B47C97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1.得購買下列投資標的：</w:t>
            </w:r>
          </w:p>
        </w:tc>
        <w:tc>
          <w:tcPr>
            <w:tcW w:w="2023" w:type="dxa"/>
            <w:vMerge/>
            <w:tcBorders>
              <w:right w:val="single" w:sz="12" w:space="0" w:color="auto"/>
            </w:tcBorders>
          </w:tcPr>
          <w:p w14:paraId="7C09D4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4DB0CF" w14:textId="77777777">
        <w:tc>
          <w:tcPr>
            <w:tcW w:w="1384" w:type="dxa"/>
            <w:vMerge/>
            <w:tcBorders>
              <w:left w:val="single" w:sz="12" w:space="0" w:color="auto"/>
            </w:tcBorders>
          </w:tcPr>
          <w:p w14:paraId="59B74E3E" w14:textId="77777777" w:rsidR="003B3105" w:rsidRDefault="003B3105" w:rsidP="001E533B">
            <w:pPr>
              <w:rPr>
                <w:rFonts w:ascii="新細明體" w:eastAsia="新細明體" w:hAnsi="新細明體"/>
              </w:rPr>
            </w:pPr>
          </w:p>
        </w:tc>
        <w:tc>
          <w:tcPr>
            <w:tcW w:w="1276" w:type="dxa"/>
            <w:vMerge/>
          </w:tcPr>
          <w:p w14:paraId="68418C45" w14:textId="77777777" w:rsidR="003B3105" w:rsidRDefault="003B3105" w:rsidP="001E533B">
            <w:pPr>
              <w:rPr>
                <w:rFonts w:ascii="新細明體" w:eastAsia="新細明體" w:hAnsi="新細明體"/>
              </w:rPr>
            </w:pPr>
          </w:p>
        </w:tc>
        <w:tc>
          <w:tcPr>
            <w:tcW w:w="5386" w:type="dxa"/>
            <w:tcBorders>
              <w:top w:val="nil"/>
              <w:bottom w:val="nil"/>
            </w:tcBorders>
          </w:tcPr>
          <w:p w14:paraId="35AF148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(1)公開發行股票公司依證券交易法第四十三條之六規定私募之有價證券。</w:t>
            </w:r>
          </w:p>
        </w:tc>
        <w:tc>
          <w:tcPr>
            <w:tcW w:w="5387" w:type="dxa"/>
            <w:tcBorders>
              <w:top w:val="nil"/>
              <w:bottom w:val="nil"/>
            </w:tcBorders>
          </w:tcPr>
          <w:p w14:paraId="18B424C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(1)公開發行股票公司依證券交易法第四十三條之六規定私募之有價證券。</w:t>
            </w:r>
          </w:p>
        </w:tc>
        <w:tc>
          <w:tcPr>
            <w:tcW w:w="2023" w:type="dxa"/>
            <w:vMerge/>
            <w:tcBorders>
              <w:right w:val="single" w:sz="12" w:space="0" w:color="auto"/>
            </w:tcBorders>
          </w:tcPr>
          <w:p w14:paraId="51F327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6DB1D2" w14:textId="77777777">
        <w:tc>
          <w:tcPr>
            <w:tcW w:w="1384" w:type="dxa"/>
            <w:vMerge/>
            <w:tcBorders>
              <w:left w:val="single" w:sz="12" w:space="0" w:color="auto"/>
            </w:tcBorders>
          </w:tcPr>
          <w:p w14:paraId="5784FFBE" w14:textId="77777777" w:rsidR="003B3105" w:rsidRDefault="003B3105" w:rsidP="001E533B">
            <w:pPr>
              <w:rPr>
                <w:rFonts w:ascii="新細明體" w:eastAsia="新細明體" w:hAnsi="新細明體"/>
              </w:rPr>
            </w:pPr>
          </w:p>
        </w:tc>
        <w:tc>
          <w:tcPr>
            <w:tcW w:w="1276" w:type="dxa"/>
            <w:vMerge/>
          </w:tcPr>
          <w:p w14:paraId="2453F052" w14:textId="77777777" w:rsidR="003B3105" w:rsidRDefault="003B3105" w:rsidP="001E533B">
            <w:pPr>
              <w:rPr>
                <w:rFonts w:ascii="新細明體" w:eastAsia="新細明體" w:hAnsi="新細明體"/>
              </w:rPr>
            </w:pPr>
          </w:p>
        </w:tc>
        <w:tc>
          <w:tcPr>
            <w:tcW w:w="5386" w:type="dxa"/>
            <w:tcBorders>
              <w:top w:val="nil"/>
              <w:bottom w:val="nil"/>
            </w:tcBorders>
          </w:tcPr>
          <w:p w14:paraId="43373A8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(2)公開發行股票公司依金融資產證券化條例第十七條第三項規定私募之受益證券，或依該條例第一百零一條規定私募之資產基礎證券。</w:t>
            </w:r>
          </w:p>
        </w:tc>
        <w:tc>
          <w:tcPr>
            <w:tcW w:w="5387" w:type="dxa"/>
            <w:tcBorders>
              <w:top w:val="nil"/>
              <w:bottom w:val="nil"/>
            </w:tcBorders>
          </w:tcPr>
          <w:p w14:paraId="38CD247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(2)公開發行股票公司依金融資產證券化條例第十七條第三項規定私募之受益證券，或依該條例第一百零一條規定私募之資產基礎證券。</w:t>
            </w:r>
          </w:p>
        </w:tc>
        <w:tc>
          <w:tcPr>
            <w:tcW w:w="2023" w:type="dxa"/>
            <w:vMerge/>
            <w:tcBorders>
              <w:right w:val="single" w:sz="12" w:space="0" w:color="auto"/>
            </w:tcBorders>
          </w:tcPr>
          <w:p w14:paraId="30FD81E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207F3B" w14:textId="77777777">
        <w:tc>
          <w:tcPr>
            <w:tcW w:w="1384" w:type="dxa"/>
            <w:vMerge/>
            <w:tcBorders>
              <w:left w:val="single" w:sz="12" w:space="0" w:color="auto"/>
            </w:tcBorders>
          </w:tcPr>
          <w:p w14:paraId="734B8786" w14:textId="77777777" w:rsidR="003B3105" w:rsidRDefault="003B3105" w:rsidP="001E533B">
            <w:pPr>
              <w:rPr>
                <w:rFonts w:ascii="新細明體" w:eastAsia="新細明體" w:hAnsi="新細明體"/>
              </w:rPr>
            </w:pPr>
          </w:p>
        </w:tc>
        <w:tc>
          <w:tcPr>
            <w:tcW w:w="1276" w:type="dxa"/>
            <w:vMerge/>
          </w:tcPr>
          <w:p w14:paraId="339B0F66" w14:textId="77777777" w:rsidR="003B3105" w:rsidRDefault="003B3105" w:rsidP="001E533B">
            <w:pPr>
              <w:rPr>
                <w:rFonts w:ascii="新細明體" w:eastAsia="新細明體" w:hAnsi="新細明體"/>
              </w:rPr>
            </w:pPr>
          </w:p>
        </w:tc>
        <w:tc>
          <w:tcPr>
            <w:tcW w:w="5386" w:type="dxa"/>
            <w:tcBorders>
              <w:top w:val="nil"/>
              <w:bottom w:val="nil"/>
            </w:tcBorders>
          </w:tcPr>
          <w:p w14:paraId="5EAA8F4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(3)未上市（櫃）之公開發行股票公司依證券交易法第二十二條第一項規定增資發行之新股。</w:t>
            </w:r>
          </w:p>
        </w:tc>
        <w:tc>
          <w:tcPr>
            <w:tcW w:w="5387" w:type="dxa"/>
            <w:tcBorders>
              <w:top w:val="nil"/>
              <w:bottom w:val="nil"/>
            </w:tcBorders>
          </w:tcPr>
          <w:p w14:paraId="50484F3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(3)未上市（櫃）之公開發行股票公司依證券交易法第二十二條第一項規定增資發行之新股。</w:t>
            </w:r>
          </w:p>
        </w:tc>
        <w:tc>
          <w:tcPr>
            <w:tcW w:w="2023" w:type="dxa"/>
            <w:vMerge/>
            <w:tcBorders>
              <w:right w:val="single" w:sz="12" w:space="0" w:color="auto"/>
            </w:tcBorders>
          </w:tcPr>
          <w:p w14:paraId="0114E8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CFE8CA" w14:textId="77777777">
        <w:tc>
          <w:tcPr>
            <w:tcW w:w="1384" w:type="dxa"/>
            <w:vMerge/>
            <w:tcBorders>
              <w:left w:val="single" w:sz="12" w:space="0" w:color="auto"/>
            </w:tcBorders>
          </w:tcPr>
          <w:p w14:paraId="6BBDC92F" w14:textId="77777777" w:rsidR="003B3105" w:rsidRDefault="003B3105" w:rsidP="001E533B">
            <w:pPr>
              <w:rPr>
                <w:rFonts w:ascii="新細明體" w:eastAsia="新細明體" w:hAnsi="新細明體"/>
              </w:rPr>
            </w:pPr>
          </w:p>
        </w:tc>
        <w:tc>
          <w:tcPr>
            <w:tcW w:w="1276" w:type="dxa"/>
            <w:vMerge/>
          </w:tcPr>
          <w:p w14:paraId="6ADBF1BE" w14:textId="77777777" w:rsidR="003B3105" w:rsidRDefault="003B3105" w:rsidP="001E533B">
            <w:pPr>
              <w:rPr>
                <w:rFonts w:ascii="新細明體" w:eastAsia="新細明體" w:hAnsi="新細明體"/>
              </w:rPr>
            </w:pPr>
          </w:p>
        </w:tc>
        <w:tc>
          <w:tcPr>
            <w:tcW w:w="5386" w:type="dxa"/>
            <w:tcBorders>
              <w:top w:val="nil"/>
              <w:bottom w:val="nil"/>
            </w:tcBorders>
          </w:tcPr>
          <w:p w14:paraId="12D5EA3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(4)公開發行股票公司依證券交易法第二十二條第一項規定辦理初次上市（櫃）前增資發行新股且採競價拍賣方式公開銷售者。</w:t>
            </w:r>
          </w:p>
        </w:tc>
        <w:tc>
          <w:tcPr>
            <w:tcW w:w="5387" w:type="dxa"/>
            <w:tcBorders>
              <w:top w:val="nil"/>
              <w:bottom w:val="nil"/>
            </w:tcBorders>
          </w:tcPr>
          <w:p w14:paraId="3386A13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(4)公開發行股票公司依證券交易法第二十二條第一項規定辦理初次上市（櫃）前增資發行新股且採競價拍賣方式公開銷售者。</w:t>
            </w:r>
          </w:p>
        </w:tc>
        <w:tc>
          <w:tcPr>
            <w:tcW w:w="2023" w:type="dxa"/>
            <w:vMerge/>
            <w:tcBorders>
              <w:right w:val="single" w:sz="12" w:space="0" w:color="auto"/>
            </w:tcBorders>
          </w:tcPr>
          <w:p w14:paraId="4EE26F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8FFAFF" w14:textId="77777777">
        <w:tc>
          <w:tcPr>
            <w:tcW w:w="1384" w:type="dxa"/>
            <w:vMerge/>
            <w:tcBorders>
              <w:left w:val="single" w:sz="12" w:space="0" w:color="auto"/>
            </w:tcBorders>
          </w:tcPr>
          <w:p w14:paraId="4622663F" w14:textId="77777777" w:rsidR="003B3105" w:rsidRDefault="003B3105" w:rsidP="001E533B">
            <w:pPr>
              <w:rPr>
                <w:rFonts w:ascii="新細明體" w:eastAsia="新細明體" w:hAnsi="新細明體"/>
              </w:rPr>
            </w:pPr>
          </w:p>
        </w:tc>
        <w:tc>
          <w:tcPr>
            <w:tcW w:w="1276" w:type="dxa"/>
            <w:vMerge/>
          </w:tcPr>
          <w:p w14:paraId="30B96910" w14:textId="77777777" w:rsidR="003B3105" w:rsidRDefault="003B3105" w:rsidP="001E533B">
            <w:pPr>
              <w:rPr>
                <w:rFonts w:ascii="新細明體" w:eastAsia="新細明體" w:hAnsi="新細明體"/>
              </w:rPr>
            </w:pPr>
          </w:p>
        </w:tc>
        <w:tc>
          <w:tcPr>
            <w:tcW w:w="5386" w:type="dxa"/>
            <w:tcBorders>
              <w:top w:val="nil"/>
              <w:bottom w:val="nil"/>
            </w:tcBorders>
          </w:tcPr>
          <w:p w14:paraId="54004D0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(5)上市（櫃）公司依證券交易法第二十二條第一項規定發行轉換公司債且採競價拍賣方式公開銷售者。</w:t>
            </w:r>
          </w:p>
        </w:tc>
        <w:tc>
          <w:tcPr>
            <w:tcW w:w="5387" w:type="dxa"/>
            <w:tcBorders>
              <w:top w:val="nil"/>
              <w:bottom w:val="nil"/>
            </w:tcBorders>
          </w:tcPr>
          <w:p w14:paraId="2A98B51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(5)上市（櫃）公司依證券交易法第二十二條第一項規定發行轉換公司債且採競價拍賣方式公開銷售者。</w:t>
            </w:r>
          </w:p>
        </w:tc>
        <w:tc>
          <w:tcPr>
            <w:tcW w:w="2023" w:type="dxa"/>
            <w:vMerge/>
            <w:tcBorders>
              <w:right w:val="single" w:sz="12" w:space="0" w:color="auto"/>
            </w:tcBorders>
          </w:tcPr>
          <w:p w14:paraId="3F67937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0B0877" w14:textId="77777777">
        <w:tc>
          <w:tcPr>
            <w:tcW w:w="1384" w:type="dxa"/>
            <w:vMerge/>
            <w:tcBorders>
              <w:left w:val="single" w:sz="12" w:space="0" w:color="auto"/>
            </w:tcBorders>
          </w:tcPr>
          <w:p w14:paraId="459CAACE" w14:textId="77777777" w:rsidR="003B3105" w:rsidRDefault="003B3105" w:rsidP="001E533B">
            <w:pPr>
              <w:rPr>
                <w:rFonts w:ascii="新細明體" w:eastAsia="新細明體" w:hAnsi="新細明體"/>
              </w:rPr>
            </w:pPr>
          </w:p>
        </w:tc>
        <w:tc>
          <w:tcPr>
            <w:tcW w:w="1276" w:type="dxa"/>
            <w:vMerge/>
          </w:tcPr>
          <w:p w14:paraId="26517415" w14:textId="77777777" w:rsidR="003B3105" w:rsidRDefault="003B3105" w:rsidP="001E533B">
            <w:pPr>
              <w:rPr>
                <w:rFonts w:ascii="新細明體" w:eastAsia="新細明體" w:hAnsi="新細明體"/>
              </w:rPr>
            </w:pPr>
          </w:p>
        </w:tc>
        <w:tc>
          <w:tcPr>
            <w:tcW w:w="5386" w:type="dxa"/>
            <w:tcBorders>
              <w:top w:val="nil"/>
              <w:bottom w:val="nil"/>
            </w:tcBorders>
          </w:tcPr>
          <w:p w14:paraId="1DDF1BE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(6)有價證券持有人依證券交易法第二十二條第三項規定，對非特定人公開招募之未上市（櫃）之公開發行股票。</w:t>
            </w:r>
          </w:p>
        </w:tc>
        <w:tc>
          <w:tcPr>
            <w:tcW w:w="5387" w:type="dxa"/>
            <w:tcBorders>
              <w:top w:val="nil"/>
              <w:bottom w:val="nil"/>
            </w:tcBorders>
          </w:tcPr>
          <w:p w14:paraId="133E315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(6)有價證券持有人依證券交易法第二十二條第三項規定，對非特定人公開招募之未上市（櫃）之公開發行股票。</w:t>
            </w:r>
          </w:p>
        </w:tc>
        <w:tc>
          <w:tcPr>
            <w:tcW w:w="2023" w:type="dxa"/>
            <w:vMerge/>
            <w:tcBorders>
              <w:right w:val="single" w:sz="12" w:space="0" w:color="auto"/>
            </w:tcBorders>
          </w:tcPr>
          <w:p w14:paraId="53F737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923A40" w14:textId="77777777">
        <w:tc>
          <w:tcPr>
            <w:tcW w:w="1384" w:type="dxa"/>
            <w:vMerge/>
            <w:tcBorders>
              <w:left w:val="single" w:sz="12" w:space="0" w:color="auto"/>
            </w:tcBorders>
          </w:tcPr>
          <w:p w14:paraId="18509367" w14:textId="77777777" w:rsidR="003B3105" w:rsidRDefault="003B3105" w:rsidP="001E533B">
            <w:pPr>
              <w:rPr>
                <w:rFonts w:ascii="新細明體" w:eastAsia="新細明體" w:hAnsi="新細明體"/>
              </w:rPr>
            </w:pPr>
          </w:p>
        </w:tc>
        <w:tc>
          <w:tcPr>
            <w:tcW w:w="1276" w:type="dxa"/>
            <w:vMerge/>
          </w:tcPr>
          <w:p w14:paraId="6633858C" w14:textId="77777777" w:rsidR="003B3105" w:rsidRDefault="003B3105" w:rsidP="001E533B">
            <w:pPr>
              <w:rPr>
                <w:rFonts w:ascii="新細明體" w:eastAsia="新細明體" w:hAnsi="新細明體"/>
              </w:rPr>
            </w:pPr>
          </w:p>
        </w:tc>
        <w:tc>
          <w:tcPr>
            <w:tcW w:w="5386" w:type="dxa"/>
            <w:tcBorders>
              <w:top w:val="nil"/>
              <w:bottom w:val="nil"/>
            </w:tcBorders>
          </w:tcPr>
          <w:p w14:paraId="61972F5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標的證券為非公開發行股票公司部分：得購買非屬公開發行股票公司之受託機構及特殊目的公司依金融資產證券化條例第十七條第三項規定私募之受益證券，或依該條例第一百零一條規定私募之資產基礎證券，且渠等證券最近一年內(以最新發布者為準)信用評等應符合下列規定之一：經慕迪投資服務公司(Moody's Investors Service)評定，長期債務信用評等達Baa2級(含)以上；經史丹普公司(Standard &amp; Poor's Corp.)評定，長期債務信用評等達BBB級(含)以上；經惠譽評等公司(Fitch IBCA LTD.)評定，長期債務信用評等達BBB級(含)以上；經中華信用評等股份有限公司評定，長期債務信用評等達twBBB級(含)以上。</w:t>
            </w:r>
          </w:p>
        </w:tc>
        <w:tc>
          <w:tcPr>
            <w:tcW w:w="5387" w:type="dxa"/>
            <w:tcBorders>
              <w:top w:val="nil"/>
              <w:bottom w:val="nil"/>
            </w:tcBorders>
          </w:tcPr>
          <w:p w14:paraId="0000E50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標的證券為非公開發行股票公司部分：得購買非屬公開發行股票公司之受託機構及特殊目的公司依金融資產證券化條例第十七條第三項規定私募之受益證券，或依該條例第一百零一條規定私募之資產基礎證券，且渠等證券最近一年內(以最新發布者為準)信用評等應符合下列規定之一：經慕迪投資服務公司(Moody's Investors Service)評定，長期債務信用評等達Baa2級(含)以上；經史丹普公司(Standard &amp; Poor's Corp.)評定，長期債務信用評等達BBB級(含)以上；經惠譽評等公司(Fitch IBCA LTD.)評定，長期債務信用評等達BBB級(含)以上；經中華信用評等股份有限公司評定，長期債務信用評等達twBBB級(含)以上。</w:t>
            </w:r>
          </w:p>
        </w:tc>
        <w:tc>
          <w:tcPr>
            <w:tcW w:w="2023" w:type="dxa"/>
            <w:vMerge/>
            <w:tcBorders>
              <w:right w:val="single" w:sz="12" w:space="0" w:color="auto"/>
            </w:tcBorders>
          </w:tcPr>
          <w:p w14:paraId="3D5EA9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812530" w14:textId="77777777">
        <w:tc>
          <w:tcPr>
            <w:tcW w:w="1384" w:type="dxa"/>
            <w:vMerge/>
            <w:tcBorders>
              <w:left w:val="single" w:sz="12" w:space="0" w:color="auto"/>
            </w:tcBorders>
          </w:tcPr>
          <w:p w14:paraId="4BD1AF39" w14:textId="77777777" w:rsidR="003B3105" w:rsidRDefault="003B3105" w:rsidP="001E533B">
            <w:pPr>
              <w:rPr>
                <w:rFonts w:ascii="新細明體" w:eastAsia="新細明體" w:hAnsi="新細明體"/>
              </w:rPr>
            </w:pPr>
          </w:p>
        </w:tc>
        <w:tc>
          <w:tcPr>
            <w:tcW w:w="1276" w:type="dxa"/>
            <w:vMerge/>
          </w:tcPr>
          <w:p w14:paraId="463BEEDB" w14:textId="77777777" w:rsidR="003B3105" w:rsidRDefault="003B3105" w:rsidP="001E533B">
            <w:pPr>
              <w:rPr>
                <w:rFonts w:ascii="新細明體" w:eastAsia="新細明體" w:hAnsi="新細明體"/>
              </w:rPr>
            </w:pPr>
          </w:p>
        </w:tc>
        <w:tc>
          <w:tcPr>
            <w:tcW w:w="5386" w:type="dxa"/>
            <w:tcBorders>
              <w:top w:val="nil"/>
              <w:bottom w:val="nil"/>
            </w:tcBorders>
          </w:tcPr>
          <w:p w14:paraId="0447168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b/>
                <w:color w:val="FF0000"/>
              </w:rPr>
              <w:t>(8)</w:t>
            </w:r>
            <w:r>
              <w:rPr>
                <w:rFonts w:ascii="新細明體" w:eastAsia="新細明體" w:hAnsi="新細明體" w:cs="新細明體" w:hint="eastAsia"/>
                <w:b/>
                <w:color w:val="FF0000"/>
                <w:u w:val="single"/>
              </w:rPr>
              <w:t>同時經營證券經紀、承銷及自營業務之綜合證券商得購買依財團法人中華民國證券櫃檯買賣中心創櫃板管理辦法規定登錄之創櫃板公司，於登錄創櫃板期間增資發行之新股。</w:t>
            </w:r>
          </w:p>
        </w:tc>
        <w:tc>
          <w:tcPr>
            <w:tcW w:w="5387" w:type="dxa"/>
            <w:tcBorders>
              <w:top w:val="nil"/>
              <w:bottom w:val="nil"/>
            </w:tcBorders>
          </w:tcPr>
          <w:p w14:paraId="36384A7B"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288E19D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9F617C" w14:textId="77777777">
        <w:tc>
          <w:tcPr>
            <w:tcW w:w="1384" w:type="dxa"/>
            <w:vMerge/>
            <w:tcBorders>
              <w:left w:val="single" w:sz="12" w:space="0" w:color="auto"/>
            </w:tcBorders>
          </w:tcPr>
          <w:p w14:paraId="6B7CA077" w14:textId="77777777" w:rsidR="003B3105" w:rsidRDefault="003B3105" w:rsidP="001E533B">
            <w:pPr>
              <w:rPr>
                <w:rFonts w:ascii="新細明體" w:eastAsia="新細明體" w:hAnsi="新細明體"/>
              </w:rPr>
            </w:pPr>
          </w:p>
        </w:tc>
        <w:tc>
          <w:tcPr>
            <w:tcW w:w="1276" w:type="dxa"/>
            <w:vMerge/>
          </w:tcPr>
          <w:p w14:paraId="2724E327" w14:textId="77777777" w:rsidR="003B3105" w:rsidRDefault="003B3105" w:rsidP="001E533B">
            <w:pPr>
              <w:rPr>
                <w:rFonts w:ascii="新細明體" w:eastAsia="新細明體" w:hAnsi="新細明體"/>
              </w:rPr>
            </w:pPr>
          </w:p>
        </w:tc>
        <w:tc>
          <w:tcPr>
            <w:tcW w:w="5386" w:type="dxa"/>
            <w:tcBorders>
              <w:top w:val="nil"/>
              <w:bottom w:val="nil"/>
            </w:tcBorders>
          </w:tcPr>
          <w:p w14:paraId="4D2B14A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2.購買前揭投資標的之金額及作業程序，應符合下列規定：</w:t>
            </w:r>
          </w:p>
        </w:tc>
        <w:tc>
          <w:tcPr>
            <w:tcW w:w="5387" w:type="dxa"/>
            <w:tcBorders>
              <w:top w:val="nil"/>
              <w:bottom w:val="nil"/>
            </w:tcBorders>
          </w:tcPr>
          <w:p w14:paraId="08C3269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2.購買前揭投資標的之金額及作業程序，應符合下列規定：</w:t>
            </w:r>
          </w:p>
        </w:tc>
        <w:tc>
          <w:tcPr>
            <w:tcW w:w="2023" w:type="dxa"/>
            <w:vMerge/>
            <w:tcBorders>
              <w:right w:val="single" w:sz="12" w:space="0" w:color="auto"/>
            </w:tcBorders>
          </w:tcPr>
          <w:p w14:paraId="41ABB72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C4F47E" w14:textId="77777777">
        <w:tc>
          <w:tcPr>
            <w:tcW w:w="1384" w:type="dxa"/>
            <w:vMerge/>
            <w:tcBorders>
              <w:left w:val="single" w:sz="12" w:space="0" w:color="auto"/>
            </w:tcBorders>
          </w:tcPr>
          <w:p w14:paraId="446BC2F7" w14:textId="77777777" w:rsidR="003B3105" w:rsidRDefault="003B3105" w:rsidP="001E533B">
            <w:pPr>
              <w:rPr>
                <w:rFonts w:ascii="新細明體" w:eastAsia="新細明體" w:hAnsi="新細明體"/>
              </w:rPr>
            </w:pPr>
          </w:p>
        </w:tc>
        <w:tc>
          <w:tcPr>
            <w:tcW w:w="1276" w:type="dxa"/>
            <w:vMerge/>
          </w:tcPr>
          <w:p w14:paraId="75234D60" w14:textId="77777777" w:rsidR="003B3105" w:rsidRDefault="003B3105" w:rsidP="001E533B">
            <w:pPr>
              <w:rPr>
                <w:rFonts w:ascii="新細明體" w:eastAsia="新細明體" w:hAnsi="新細明體"/>
              </w:rPr>
            </w:pPr>
          </w:p>
        </w:tc>
        <w:tc>
          <w:tcPr>
            <w:tcW w:w="5386" w:type="dxa"/>
            <w:tcBorders>
              <w:top w:val="nil"/>
              <w:bottom w:val="nil"/>
            </w:tcBorders>
          </w:tcPr>
          <w:p w14:paraId="665C5F4C" w14:textId="0717C0FB"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(1)購買任</w:t>
            </w:r>
            <w:proofErr w:type="gramStart"/>
            <w:r>
              <w:rPr>
                <w:rFonts w:ascii="新細明體" w:eastAsia="新細明體" w:hAnsi="新細明體" w:cs="新細明體" w:hint="eastAsia"/>
              </w:rPr>
              <w:t>一</w:t>
            </w:r>
            <w:proofErr w:type="gramEnd"/>
            <w:r>
              <w:rPr>
                <w:rFonts w:ascii="新細明體" w:eastAsia="新細明體" w:hAnsi="新細明體" w:cs="新細明體" w:hint="eastAsia"/>
              </w:rPr>
              <w:t>公司前揭投資標的之金額不得超過</w:t>
            </w:r>
            <w:r>
              <w:rPr>
                <w:rFonts w:ascii="新細明體" w:eastAsia="新細明體" w:hAnsi="新細明體" w:cs="新細明體" w:hint="eastAsia"/>
                <w:b/>
                <w:color w:val="FF0000"/>
                <w:u w:val="single"/>
              </w:rPr>
              <w:t>證券商</w:t>
            </w:r>
            <w:r>
              <w:rPr>
                <w:rFonts w:ascii="新細明體" w:eastAsia="新細明體" w:hAnsi="新細明體" w:cs="新細明體" w:hint="eastAsia"/>
              </w:rPr>
              <w:t>淨值百分之五</w:t>
            </w:r>
            <w:r>
              <w:rPr>
                <w:rFonts w:ascii="新細明體" w:eastAsia="新細明體" w:hAnsi="新細明體" w:cs="新細明體" w:hint="eastAsia"/>
                <w:b/>
                <w:color w:val="FF0000"/>
                <w:u w:val="single"/>
              </w:rPr>
              <w:t>；</w:t>
            </w:r>
            <w:r>
              <w:rPr>
                <w:rFonts w:ascii="新細明體" w:eastAsia="新細明體" w:hAnsi="新細明體" w:cs="新細明體" w:hint="eastAsia"/>
              </w:rPr>
              <w:t>購買前揭投資標的之總額不得超過</w:t>
            </w:r>
            <w:r>
              <w:rPr>
                <w:rFonts w:ascii="新細明體" w:eastAsia="新細明體" w:hAnsi="新細明體" w:cs="新細明體" w:hint="eastAsia"/>
                <w:b/>
                <w:color w:val="FF0000"/>
                <w:u w:val="single"/>
              </w:rPr>
              <w:t>證券商</w:t>
            </w:r>
            <w:r>
              <w:rPr>
                <w:rFonts w:ascii="新細明體" w:eastAsia="新細明體" w:hAnsi="新細明體" w:cs="新細明體" w:hint="eastAsia"/>
              </w:rPr>
              <w:t>淨值百分之十</w:t>
            </w:r>
            <w:r>
              <w:rPr>
                <w:rFonts w:ascii="新細明體" w:eastAsia="新細明體" w:hAnsi="新細明體" w:cs="新細明體" w:hint="eastAsia"/>
                <w:b/>
                <w:color w:val="FF0000"/>
                <w:u w:val="single"/>
              </w:rPr>
              <w:t>；購買前揭</w:t>
            </w:r>
            <w:r w:rsidR="006F3678" w:rsidRPr="005E7776">
              <w:rPr>
                <w:rFonts w:ascii="新細明體" w:eastAsia="新細明體" w:hAnsi="新細明體" w:cs="新細明體" w:hint="eastAsia"/>
                <w:b/>
                <w:color w:val="FF0000"/>
                <w:u w:val="single"/>
              </w:rPr>
              <w:t>(8)</w:t>
            </w:r>
            <w:r>
              <w:rPr>
                <w:rFonts w:ascii="新細明體" w:eastAsia="新細明體" w:hAnsi="新細明體" w:cs="新細明體" w:hint="eastAsia"/>
                <w:b/>
                <w:color w:val="FF0000"/>
                <w:u w:val="single"/>
              </w:rPr>
              <w:t>總額不得超過證券商淨值百分之五。前揭情形均</w:t>
            </w:r>
            <w:r>
              <w:rPr>
                <w:rFonts w:ascii="新細明體" w:eastAsia="新細明體" w:hAnsi="新細明體" w:cs="新細明體" w:hint="eastAsia"/>
              </w:rPr>
              <w:t>應符合證券商管理規則第十八條第二項規定。</w:t>
            </w:r>
          </w:p>
        </w:tc>
        <w:tc>
          <w:tcPr>
            <w:tcW w:w="5387" w:type="dxa"/>
            <w:tcBorders>
              <w:top w:val="nil"/>
              <w:bottom w:val="nil"/>
            </w:tcBorders>
          </w:tcPr>
          <w:p w14:paraId="00C0D78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(1)購買任一公司前揭投資標的之金額不得超過</w:t>
            </w:r>
            <w:r>
              <w:rPr>
                <w:rFonts w:ascii="新細明體" w:eastAsia="新細明體" w:hAnsi="新細明體" w:cs="新細明體" w:hint="eastAsia"/>
                <w:b/>
                <w:color w:val="FF0000"/>
              </w:rPr>
              <w:t>資本</w:t>
            </w:r>
            <w:r>
              <w:rPr>
                <w:rFonts w:ascii="新細明體" w:eastAsia="新細明體" w:hAnsi="新細明體" w:cs="新細明體" w:hint="eastAsia"/>
              </w:rPr>
              <w:t>淨值百分之五</w:t>
            </w:r>
            <w:r>
              <w:rPr>
                <w:rFonts w:ascii="新細明體" w:eastAsia="新細明體" w:hAnsi="新細明體" w:cs="新細明體" w:hint="eastAsia"/>
                <w:b/>
                <w:color w:val="FF0000"/>
              </w:rPr>
              <w:t>，</w:t>
            </w:r>
            <w:r>
              <w:rPr>
                <w:rFonts w:ascii="新細明體" w:eastAsia="新細明體" w:hAnsi="新細明體" w:cs="新細明體" w:hint="eastAsia"/>
              </w:rPr>
              <w:t>購買前揭投資標的之總</w:t>
            </w:r>
            <w:r>
              <w:rPr>
                <w:rFonts w:ascii="新細明體" w:eastAsia="新細明體" w:hAnsi="新細明體" w:cs="新細明體" w:hint="eastAsia"/>
                <w:b/>
                <w:color w:val="FF0000"/>
              </w:rPr>
              <w:t>金</w:t>
            </w:r>
            <w:r>
              <w:rPr>
                <w:rFonts w:ascii="新細明體" w:eastAsia="新細明體" w:hAnsi="新細明體" w:cs="新細明體" w:hint="eastAsia"/>
              </w:rPr>
              <w:t>額不得超過</w:t>
            </w:r>
            <w:r>
              <w:rPr>
                <w:rFonts w:ascii="新細明體" w:eastAsia="新細明體" w:hAnsi="新細明體" w:cs="新細明體" w:hint="eastAsia"/>
                <w:b/>
                <w:color w:val="FF0000"/>
              </w:rPr>
              <w:t>資本</w:t>
            </w:r>
            <w:r>
              <w:rPr>
                <w:rFonts w:ascii="新細明體" w:eastAsia="新細明體" w:hAnsi="新細明體" w:cs="新細明體" w:hint="eastAsia"/>
              </w:rPr>
              <w:t>淨值百分之十</w:t>
            </w:r>
            <w:r>
              <w:rPr>
                <w:rFonts w:ascii="新細明體" w:eastAsia="新細明體" w:hAnsi="新細明體" w:cs="新細明體" w:hint="eastAsia"/>
                <w:b/>
                <w:color w:val="FF0000"/>
              </w:rPr>
              <w:t>，並</w:t>
            </w:r>
            <w:r>
              <w:rPr>
                <w:rFonts w:ascii="新細明體" w:eastAsia="新細明體" w:hAnsi="新細明體" w:cs="新細明體" w:hint="eastAsia"/>
              </w:rPr>
              <w:t>應符合證券商管理規則第十八條第二項規定。</w:t>
            </w:r>
          </w:p>
        </w:tc>
        <w:tc>
          <w:tcPr>
            <w:tcW w:w="2023" w:type="dxa"/>
            <w:vMerge/>
            <w:tcBorders>
              <w:right w:val="single" w:sz="12" w:space="0" w:color="auto"/>
            </w:tcBorders>
          </w:tcPr>
          <w:p w14:paraId="0119259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239206" w14:textId="77777777">
        <w:tc>
          <w:tcPr>
            <w:tcW w:w="1384" w:type="dxa"/>
            <w:vMerge/>
            <w:tcBorders>
              <w:left w:val="single" w:sz="12" w:space="0" w:color="auto"/>
            </w:tcBorders>
          </w:tcPr>
          <w:p w14:paraId="6AE45FCC" w14:textId="77777777" w:rsidR="003B3105" w:rsidRDefault="003B3105" w:rsidP="001E533B">
            <w:pPr>
              <w:rPr>
                <w:rFonts w:ascii="新細明體" w:eastAsia="新細明體" w:hAnsi="新細明體"/>
              </w:rPr>
            </w:pPr>
          </w:p>
        </w:tc>
        <w:tc>
          <w:tcPr>
            <w:tcW w:w="1276" w:type="dxa"/>
            <w:vMerge/>
          </w:tcPr>
          <w:p w14:paraId="563BF46B" w14:textId="77777777" w:rsidR="003B3105" w:rsidRDefault="003B3105" w:rsidP="001E533B">
            <w:pPr>
              <w:rPr>
                <w:rFonts w:ascii="新細明體" w:eastAsia="新細明體" w:hAnsi="新細明體"/>
              </w:rPr>
            </w:pPr>
          </w:p>
        </w:tc>
        <w:tc>
          <w:tcPr>
            <w:tcW w:w="5386" w:type="dxa"/>
            <w:tcBorders>
              <w:top w:val="nil"/>
              <w:bottom w:val="nil"/>
            </w:tcBorders>
          </w:tcPr>
          <w:p w14:paraId="551C8882" w14:textId="0C1EC70F"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(2)購買任一公司前揭投資標的總額，不得超過該公司單次發行或已發行總額百分之十。</w:t>
            </w:r>
            <w:r>
              <w:rPr>
                <w:rFonts w:ascii="新細明體" w:eastAsia="新細明體" w:hAnsi="新細明體" w:cs="新細明體" w:hint="eastAsia"/>
                <w:b/>
                <w:color w:val="FF0000"/>
                <w:u w:val="single"/>
              </w:rPr>
              <w:t>但購買</w:t>
            </w:r>
            <w:r w:rsidR="005E7776">
              <w:rPr>
                <w:rFonts w:ascii="新細明體" w:eastAsia="新細明體" w:hAnsi="新細明體" w:cs="新細明體" w:hint="eastAsia"/>
                <w:b/>
                <w:color w:val="FF0000"/>
                <w:u w:val="single"/>
              </w:rPr>
              <w:t>前揭</w:t>
            </w:r>
            <w:r w:rsidR="005E7776" w:rsidRPr="005E7776">
              <w:rPr>
                <w:rFonts w:ascii="新細明體" w:eastAsia="新細明體" w:hAnsi="新細明體" w:cs="新細明體" w:hint="eastAsia"/>
                <w:b/>
                <w:color w:val="FF0000"/>
                <w:u w:val="single"/>
              </w:rPr>
              <w:t>(8)</w:t>
            </w:r>
            <w:r>
              <w:rPr>
                <w:rFonts w:ascii="新細明體" w:eastAsia="新細明體" w:hAnsi="新細明體" w:cs="新細明體" w:hint="eastAsia"/>
                <w:b/>
                <w:color w:val="FF0000"/>
                <w:u w:val="single"/>
              </w:rPr>
              <w:t>投資標的，不受該公司單次發行總額百分之十之限制。</w:t>
            </w:r>
          </w:p>
        </w:tc>
        <w:tc>
          <w:tcPr>
            <w:tcW w:w="5387" w:type="dxa"/>
            <w:tcBorders>
              <w:top w:val="nil"/>
              <w:bottom w:val="nil"/>
            </w:tcBorders>
          </w:tcPr>
          <w:p w14:paraId="42ADC2A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(2)購買任一公司前揭投資標的總額，不得超過該公司單次發行或已發行總額百分之十。</w:t>
            </w:r>
          </w:p>
        </w:tc>
        <w:tc>
          <w:tcPr>
            <w:tcW w:w="2023" w:type="dxa"/>
            <w:vMerge/>
            <w:tcBorders>
              <w:right w:val="single" w:sz="12" w:space="0" w:color="auto"/>
            </w:tcBorders>
          </w:tcPr>
          <w:p w14:paraId="1F129D2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8DF75B" w14:textId="77777777">
        <w:tc>
          <w:tcPr>
            <w:tcW w:w="1384" w:type="dxa"/>
            <w:vMerge/>
            <w:tcBorders>
              <w:left w:val="single" w:sz="12" w:space="0" w:color="auto"/>
            </w:tcBorders>
          </w:tcPr>
          <w:p w14:paraId="77A5B423" w14:textId="77777777" w:rsidR="003B3105" w:rsidRDefault="003B3105" w:rsidP="001E533B">
            <w:pPr>
              <w:rPr>
                <w:rFonts w:ascii="新細明體" w:eastAsia="新細明體" w:hAnsi="新細明體"/>
              </w:rPr>
            </w:pPr>
          </w:p>
        </w:tc>
        <w:tc>
          <w:tcPr>
            <w:tcW w:w="1276" w:type="dxa"/>
            <w:vMerge/>
          </w:tcPr>
          <w:p w14:paraId="2AFC9941" w14:textId="77777777" w:rsidR="003B3105" w:rsidRDefault="003B3105" w:rsidP="001E533B">
            <w:pPr>
              <w:rPr>
                <w:rFonts w:ascii="新細明體" w:eastAsia="新細明體" w:hAnsi="新細明體"/>
              </w:rPr>
            </w:pPr>
          </w:p>
        </w:tc>
        <w:tc>
          <w:tcPr>
            <w:tcW w:w="5386" w:type="dxa"/>
            <w:tcBorders>
              <w:top w:val="nil"/>
              <w:bottom w:val="nil"/>
            </w:tcBorders>
          </w:tcPr>
          <w:p w14:paraId="379013E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(3)最近期自有資本適足比率於加計購買前揭投資標的金額之試算後比率，不得低於百分之二百。</w:t>
            </w:r>
          </w:p>
        </w:tc>
        <w:tc>
          <w:tcPr>
            <w:tcW w:w="5387" w:type="dxa"/>
            <w:tcBorders>
              <w:top w:val="nil"/>
              <w:bottom w:val="nil"/>
            </w:tcBorders>
          </w:tcPr>
          <w:p w14:paraId="2D575A3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(3)最近期自有資本適足比率於加計購買前揭投資標的金額之試算後比率，不得低於百分之二百。</w:t>
            </w:r>
          </w:p>
        </w:tc>
        <w:tc>
          <w:tcPr>
            <w:tcW w:w="2023" w:type="dxa"/>
            <w:vMerge/>
            <w:tcBorders>
              <w:right w:val="single" w:sz="12" w:space="0" w:color="auto"/>
            </w:tcBorders>
          </w:tcPr>
          <w:p w14:paraId="0B2D6BD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46ED63" w14:textId="77777777">
        <w:tc>
          <w:tcPr>
            <w:tcW w:w="1384" w:type="dxa"/>
            <w:vMerge/>
            <w:tcBorders>
              <w:left w:val="single" w:sz="12" w:space="0" w:color="auto"/>
            </w:tcBorders>
          </w:tcPr>
          <w:p w14:paraId="2957545F" w14:textId="77777777" w:rsidR="003B3105" w:rsidRDefault="003B3105" w:rsidP="001E533B">
            <w:pPr>
              <w:rPr>
                <w:rFonts w:ascii="新細明體" w:eastAsia="新細明體" w:hAnsi="新細明體"/>
              </w:rPr>
            </w:pPr>
          </w:p>
        </w:tc>
        <w:tc>
          <w:tcPr>
            <w:tcW w:w="1276" w:type="dxa"/>
            <w:vMerge/>
          </w:tcPr>
          <w:p w14:paraId="164C9316" w14:textId="77777777" w:rsidR="003B3105" w:rsidRDefault="003B3105" w:rsidP="001E533B">
            <w:pPr>
              <w:rPr>
                <w:rFonts w:ascii="新細明體" w:eastAsia="新細明體" w:hAnsi="新細明體"/>
              </w:rPr>
            </w:pPr>
          </w:p>
        </w:tc>
        <w:tc>
          <w:tcPr>
            <w:tcW w:w="5386" w:type="dxa"/>
            <w:tcBorders>
              <w:top w:val="nil"/>
              <w:bottom w:val="nil"/>
            </w:tcBorders>
          </w:tcPr>
          <w:p w14:paraId="12B36CE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(4)購買前揭投資標的之決策程序，應依自行買賣有價證券之作業程序，且於事實發生日起二日內，將前揭投資標的內容登錄於「證券商申報單一窗口」。</w:t>
            </w:r>
          </w:p>
        </w:tc>
        <w:tc>
          <w:tcPr>
            <w:tcW w:w="5387" w:type="dxa"/>
            <w:tcBorders>
              <w:top w:val="nil"/>
              <w:bottom w:val="nil"/>
            </w:tcBorders>
          </w:tcPr>
          <w:p w14:paraId="0866102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(4)購買前揭投資標的之決策程序，應依自行買賣有價證券之作業程序，且於事實發生日起二日內，將前揭投資標的內容登錄於「證券商申報單一窗口」。</w:t>
            </w:r>
          </w:p>
        </w:tc>
        <w:tc>
          <w:tcPr>
            <w:tcW w:w="2023" w:type="dxa"/>
            <w:vMerge/>
            <w:tcBorders>
              <w:right w:val="single" w:sz="12" w:space="0" w:color="auto"/>
            </w:tcBorders>
          </w:tcPr>
          <w:p w14:paraId="4E862BB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930DE5" w14:textId="77777777">
        <w:tc>
          <w:tcPr>
            <w:tcW w:w="1384" w:type="dxa"/>
            <w:vMerge/>
            <w:tcBorders>
              <w:left w:val="single" w:sz="12" w:space="0" w:color="auto"/>
            </w:tcBorders>
          </w:tcPr>
          <w:p w14:paraId="180D9867" w14:textId="77777777" w:rsidR="003B3105" w:rsidRDefault="003B3105" w:rsidP="001E533B">
            <w:pPr>
              <w:rPr>
                <w:rFonts w:ascii="新細明體" w:eastAsia="新細明體" w:hAnsi="新細明體"/>
              </w:rPr>
            </w:pPr>
          </w:p>
        </w:tc>
        <w:tc>
          <w:tcPr>
            <w:tcW w:w="1276" w:type="dxa"/>
            <w:vMerge/>
          </w:tcPr>
          <w:p w14:paraId="5C9C6C0D" w14:textId="77777777" w:rsidR="003B3105" w:rsidRDefault="003B3105" w:rsidP="001E533B">
            <w:pPr>
              <w:rPr>
                <w:rFonts w:ascii="新細明體" w:eastAsia="新細明體" w:hAnsi="新細明體"/>
              </w:rPr>
            </w:pPr>
          </w:p>
        </w:tc>
        <w:tc>
          <w:tcPr>
            <w:tcW w:w="5386" w:type="dxa"/>
            <w:tcBorders>
              <w:top w:val="nil"/>
              <w:bottom w:val="nil"/>
            </w:tcBorders>
          </w:tcPr>
          <w:p w14:paraId="77EA173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(5)購買前揭投資標的交易金額達公開發行公司取得或處分資產處理準則第三</w:t>
            </w:r>
            <w:r>
              <w:rPr>
                <w:rFonts w:ascii="新細明體" w:eastAsia="新細明體" w:hAnsi="新細明體" w:cs="新細明體" w:hint="eastAsia"/>
              </w:rPr>
              <w:lastRenderedPageBreak/>
              <w:t>章資訊公開之規定者，除應經董事會通過外，並應依該準則辦理公告、申報及揭露事宜。</w:t>
            </w:r>
          </w:p>
        </w:tc>
        <w:tc>
          <w:tcPr>
            <w:tcW w:w="5387" w:type="dxa"/>
            <w:tcBorders>
              <w:top w:val="nil"/>
              <w:bottom w:val="nil"/>
            </w:tcBorders>
          </w:tcPr>
          <w:p w14:paraId="6A8AB4A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(5)購買前揭投資標的交易金額達公開發行公司取得或處分資產處理準則第三</w:t>
            </w:r>
            <w:r>
              <w:rPr>
                <w:rFonts w:ascii="新細明體" w:eastAsia="新細明體" w:hAnsi="新細明體" w:cs="新細明體" w:hint="eastAsia"/>
              </w:rPr>
              <w:lastRenderedPageBreak/>
              <w:t>章資訊公開之規定者，除應經董事會通過外，並應依該準則辦理公告、申報及揭露事宜。</w:t>
            </w:r>
          </w:p>
        </w:tc>
        <w:tc>
          <w:tcPr>
            <w:tcW w:w="2023" w:type="dxa"/>
            <w:vMerge/>
            <w:tcBorders>
              <w:right w:val="single" w:sz="12" w:space="0" w:color="auto"/>
            </w:tcBorders>
          </w:tcPr>
          <w:p w14:paraId="6640A8A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11EA05" w14:textId="77777777">
        <w:tc>
          <w:tcPr>
            <w:tcW w:w="1384" w:type="dxa"/>
            <w:vMerge/>
            <w:tcBorders>
              <w:left w:val="single" w:sz="12" w:space="0" w:color="auto"/>
            </w:tcBorders>
          </w:tcPr>
          <w:p w14:paraId="7988F45D" w14:textId="77777777" w:rsidR="003B3105" w:rsidRDefault="003B3105" w:rsidP="001E533B">
            <w:pPr>
              <w:rPr>
                <w:rFonts w:ascii="新細明體" w:eastAsia="新細明體" w:hAnsi="新細明體"/>
              </w:rPr>
            </w:pPr>
          </w:p>
        </w:tc>
        <w:tc>
          <w:tcPr>
            <w:tcW w:w="1276" w:type="dxa"/>
            <w:vMerge/>
          </w:tcPr>
          <w:p w14:paraId="16137C63" w14:textId="77777777" w:rsidR="003B3105" w:rsidRDefault="003B3105" w:rsidP="001E533B">
            <w:pPr>
              <w:rPr>
                <w:rFonts w:ascii="新細明體" w:eastAsia="新細明體" w:hAnsi="新細明體"/>
              </w:rPr>
            </w:pPr>
          </w:p>
        </w:tc>
        <w:tc>
          <w:tcPr>
            <w:tcW w:w="5386" w:type="dxa"/>
            <w:tcBorders>
              <w:top w:val="nil"/>
              <w:bottom w:val="nil"/>
            </w:tcBorders>
          </w:tcPr>
          <w:p w14:paraId="0497AB5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(6)購買前揭投資標的不得有不合交易常規及影響財務、業務健全經營之情事。</w:t>
            </w:r>
          </w:p>
        </w:tc>
        <w:tc>
          <w:tcPr>
            <w:tcW w:w="5387" w:type="dxa"/>
            <w:tcBorders>
              <w:top w:val="nil"/>
              <w:bottom w:val="nil"/>
            </w:tcBorders>
          </w:tcPr>
          <w:p w14:paraId="49943BF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(6)購買前揭投資標的不得有不合交易常規及影響財務、業務健全經營之情事。</w:t>
            </w:r>
          </w:p>
        </w:tc>
        <w:tc>
          <w:tcPr>
            <w:tcW w:w="2023" w:type="dxa"/>
            <w:vMerge/>
            <w:tcBorders>
              <w:right w:val="single" w:sz="12" w:space="0" w:color="auto"/>
            </w:tcBorders>
          </w:tcPr>
          <w:p w14:paraId="56CD17A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C64028" w14:textId="77777777">
        <w:tc>
          <w:tcPr>
            <w:tcW w:w="1384" w:type="dxa"/>
            <w:vMerge/>
            <w:tcBorders>
              <w:left w:val="single" w:sz="12" w:space="0" w:color="auto"/>
            </w:tcBorders>
          </w:tcPr>
          <w:p w14:paraId="6B4B6EB2" w14:textId="77777777" w:rsidR="003B3105" w:rsidRDefault="003B3105" w:rsidP="001E533B">
            <w:pPr>
              <w:rPr>
                <w:rFonts w:ascii="新細明體" w:eastAsia="新細明體" w:hAnsi="新細明體"/>
              </w:rPr>
            </w:pPr>
          </w:p>
        </w:tc>
        <w:tc>
          <w:tcPr>
            <w:tcW w:w="1276" w:type="dxa"/>
            <w:vMerge/>
          </w:tcPr>
          <w:p w14:paraId="47E29B4C" w14:textId="77777777" w:rsidR="003B3105" w:rsidRDefault="003B3105" w:rsidP="001E533B">
            <w:pPr>
              <w:rPr>
                <w:rFonts w:ascii="新細明體" w:eastAsia="新細明體" w:hAnsi="新細明體"/>
              </w:rPr>
            </w:pPr>
          </w:p>
        </w:tc>
        <w:tc>
          <w:tcPr>
            <w:tcW w:w="5386" w:type="dxa"/>
            <w:tcBorders>
              <w:top w:val="nil"/>
              <w:bottom w:val="nil"/>
            </w:tcBorders>
          </w:tcPr>
          <w:p w14:paraId="5B6C9D88" w14:textId="7890EC3B"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b/>
                <w:color w:val="FF0000"/>
              </w:rPr>
              <w:t>(7)</w:t>
            </w:r>
            <w:r>
              <w:rPr>
                <w:rFonts w:ascii="新細明體" w:eastAsia="新細明體" w:hAnsi="新細明體" w:cs="新細明體" w:hint="eastAsia"/>
                <w:b/>
                <w:color w:val="FF0000"/>
                <w:u w:val="single"/>
              </w:rPr>
              <w:t>購買前揭</w:t>
            </w:r>
            <w:r w:rsidR="005E7776" w:rsidRPr="005E7776">
              <w:rPr>
                <w:rFonts w:ascii="新細明體" w:eastAsia="新細明體" w:hAnsi="新細明體" w:cs="新細明體" w:hint="eastAsia"/>
                <w:b/>
                <w:color w:val="FF0000"/>
                <w:u w:val="single"/>
              </w:rPr>
              <w:t>(8)</w:t>
            </w:r>
            <w:r>
              <w:rPr>
                <w:rFonts w:ascii="新細明體" w:eastAsia="新細明體" w:hAnsi="新細明體" w:cs="新細明體" w:hint="eastAsia"/>
                <w:b/>
                <w:color w:val="FF0000"/>
                <w:u w:val="single"/>
              </w:rPr>
              <w:t>投資標的之種類與範圍，應經董事會決議通過，且於購買前揭</w:t>
            </w:r>
            <w:r w:rsidR="005E7776" w:rsidRPr="005E7776">
              <w:rPr>
                <w:rFonts w:ascii="新細明體" w:eastAsia="新細明體" w:hAnsi="新細明體" w:cs="新細明體" w:hint="eastAsia"/>
                <w:b/>
                <w:color w:val="FF0000"/>
                <w:u w:val="single"/>
              </w:rPr>
              <w:t>(8)</w:t>
            </w:r>
            <w:r>
              <w:rPr>
                <w:rFonts w:ascii="新細明體" w:eastAsia="新細明體" w:hAnsi="新細明體" w:cs="新細明體" w:hint="eastAsia"/>
                <w:b/>
                <w:color w:val="FF0000"/>
                <w:u w:val="single"/>
              </w:rPr>
              <w:t>投資標的前，應取具最近期標的公司經會計師查核簽證或核閱之財務報表作為評估交易價格之參考，另交易對象為關係人時，應再取得專業估價者出具之估價報告或會計師就交易價格之合理性表示意見。</w:t>
            </w:r>
          </w:p>
        </w:tc>
        <w:tc>
          <w:tcPr>
            <w:tcW w:w="5387" w:type="dxa"/>
            <w:tcBorders>
              <w:top w:val="nil"/>
              <w:bottom w:val="nil"/>
            </w:tcBorders>
          </w:tcPr>
          <w:p w14:paraId="70E44BF6"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014309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99FC44" w14:textId="77777777">
        <w:tc>
          <w:tcPr>
            <w:tcW w:w="1384" w:type="dxa"/>
            <w:vMerge/>
            <w:tcBorders>
              <w:left w:val="single" w:sz="12" w:space="0" w:color="auto"/>
            </w:tcBorders>
          </w:tcPr>
          <w:p w14:paraId="6797ED96" w14:textId="77777777" w:rsidR="003B3105" w:rsidRDefault="003B3105" w:rsidP="001E533B">
            <w:pPr>
              <w:rPr>
                <w:rFonts w:ascii="新細明體" w:eastAsia="新細明體" w:hAnsi="新細明體"/>
              </w:rPr>
            </w:pPr>
          </w:p>
        </w:tc>
        <w:tc>
          <w:tcPr>
            <w:tcW w:w="1276" w:type="dxa"/>
            <w:vMerge/>
          </w:tcPr>
          <w:p w14:paraId="4A827B86" w14:textId="77777777" w:rsidR="003B3105" w:rsidRDefault="003B3105" w:rsidP="001E533B">
            <w:pPr>
              <w:rPr>
                <w:rFonts w:ascii="新細明體" w:eastAsia="新細明體" w:hAnsi="新細明體"/>
              </w:rPr>
            </w:pPr>
          </w:p>
        </w:tc>
        <w:tc>
          <w:tcPr>
            <w:tcW w:w="5386" w:type="dxa"/>
            <w:tcBorders>
              <w:top w:val="nil"/>
              <w:bottom w:val="nil"/>
            </w:tcBorders>
          </w:tcPr>
          <w:p w14:paraId="0AC9B11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3.公司同時經營自行買賣及承銷業務者，購買前揭投資標的應遵守證券交易法第八十四條規定，且不得參與所擔任推薦證券商之興櫃股票公司辦理增資發行新股為初次上市（櫃）公開銷售之競價拍賣。</w:t>
            </w:r>
          </w:p>
        </w:tc>
        <w:tc>
          <w:tcPr>
            <w:tcW w:w="5387" w:type="dxa"/>
            <w:tcBorders>
              <w:top w:val="nil"/>
              <w:bottom w:val="nil"/>
            </w:tcBorders>
          </w:tcPr>
          <w:p w14:paraId="769B073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3.公司同時經營自行買賣及承銷業務者，購買前揭投資標的應遵守證券交易法第八十四條規定，且不得參與所擔任推薦證券商之興櫃股票公司辦理增資發行新股為初次上市（櫃）公開銷售之競價拍賣。</w:t>
            </w:r>
          </w:p>
        </w:tc>
        <w:tc>
          <w:tcPr>
            <w:tcW w:w="2023" w:type="dxa"/>
            <w:vMerge/>
            <w:tcBorders>
              <w:right w:val="single" w:sz="12" w:space="0" w:color="auto"/>
            </w:tcBorders>
          </w:tcPr>
          <w:p w14:paraId="347160C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9DB1AE" w14:textId="77777777">
        <w:tc>
          <w:tcPr>
            <w:tcW w:w="1384" w:type="dxa"/>
            <w:vMerge/>
            <w:tcBorders>
              <w:left w:val="single" w:sz="12" w:space="0" w:color="auto"/>
            </w:tcBorders>
          </w:tcPr>
          <w:p w14:paraId="3A6FBE54" w14:textId="77777777" w:rsidR="003B3105" w:rsidRDefault="003B3105" w:rsidP="001E533B">
            <w:pPr>
              <w:rPr>
                <w:rFonts w:ascii="新細明體" w:eastAsia="新細明體" w:hAnsi="新細明體"/>
              </w:rPr>
            </w:pPr>
          </w:p>
        </w:tc>
        <w:tc>
          <w:tcPr>
            <w:tcW w:w="1276" w:type="dxa"/>
            <w:vMerge/>
          </w:tcPr>
          <w:p w14:paraId="6BE57FA5" w14:textId="77777777" w:rsidR="003B3105" w:rsidRDefault="003B3105" w:rsidP="001E533B">
            <w:pPr>
              <w:rPr>
                <w:rFonts w:ascii="新細明體" w:eastAsia="新細明體" w:hAnsi="新細明體"/>
              </w:rPr>
            </w:pPr>
          </w:p>
        </w:tc>
        <w:tc>
          <w:tcPr>
            <w:tcW w:w="5386" w:type="dxa"/>
            <w:tcBorders>
              <w:top w:val="nil"/>
              <w:bottom w:val="nil"/>
            </w:tcBorders>
          </w:tcPr>
          <w:p w14:paraId="5E5EC2B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(十一)於公開招募期間購買受託機構依不動產證券化條例所發行之上市（櫃）受益證券，應依主管機關95年2月23日金管證二字第0940157605號令下列規定辦理：</w:t>
            </w:r>
          </w:p>
        </w:tc>
        <w:tc>
          <w:tcPr>
            <w:tcW w:w="5387" w:type="dxa"/>
            <w:tcBorders>
              <w:top w:val="nil"/>
              <w:bottom w:val="nil"/>
            </w:tcBorders>
          </w:tcPr>
          <w:p w14:paraId="745FF3E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(十一)於公開招募期間購買受託機構依不動產證券化條例所發行之上市（櫃）受益證券，應依主管機關95年2月23日金管證二字第0940157605號令下列規定辦理：</w:t>
            </w:r>
          </w:p>
        </w:tc>
        <w:tc>
          <w:tcPr>
            <w:tcW w:w="2023" w:type="dxa"/>
            <w:vMerge/>
            <w:tcBorders>
              <w:right w:val="single" w:sz="12" w:space="0" w:color="auto"/>
            </w:tcBorders>
          </w:tcPr>
          <w:p w14:paraId="201D3C4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E39FD3" w14:textId="77777777">
        <w:tc>
          <w:tcPr>
            <w:tcW w:w="1384" w:type="dxa"/>
            <w:vMerge/>
            <w:tcBorders>
              <w:left w:val="single" w:sz="12" w:space="0" w:color="auto"/>
            </w:tcBorders>
          </w:tcPr>
          <w:p w14:paraId="68B623CB" w14:textId="77777777" w:rsidR="003B3105" w:rsidRDefault="003B3105" w:rsidP="001E533B">
            <w:pPr>
              <w:rPr>
                <w:rFonts w:ascii="新細明體" w:eastAsia="新細明體" w:hAnsi="新細明體"/>
              </w:rPr>
            </w:pPr>
          </w:p>
        </w:tc>
        <w:tc>
          <w:tcPr>
            <w:tcW w:w="1276" w:type="dxa"/>
            <w:vMerge/>
          </w:tcPr>
          <w:p w14:paraId="2E881CCE" w14:textId="77777777" w:rsidR="003B3105" w:rsidRDefault="003B3105" w:rsidP="001E533B">
            <w:pPr>
              <w:rPr>
                <w:rFonts w:ascii="新細明體" w:eastAsia="新細明體" w:hAnsi="新細明體"/>
              </w:rPr>
            </w:pPr>
          </w:p>
        </w:tc>
        <w:tc>
          <w:tcPr>
            <w:tcW w:w="5386" w:type="dxa"/>
            <w:tcBorders>
              <w:top w:val="nil"/>
              <w:bottom w:val="nil"/>
            </w:tcBorders>
          </w:tcPr>
          <w:p w14:paraId="36C5E08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1.應符合證券商管理規則第十九條規定，且不得購買下列受益證券：</w:t>
            </w:r>
          </w:p>
        </w:tc>
        <w:tc>
          <w:tcPr>
            <w:tcW w:w="5387" w:type="dxa"/>
            <w:tcBorders>
              <w:top w:val="nil"/>
              <w:bottom w:val="nil"/>
            </w:tcBorders>
          </w:tcPr>
          <w:p w14:paraId="604479A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1.應符合證券商管理規則第十九條規定，且不得購買下列受益證券：</w:t>
            </w:r>
          </w:p>
        </w:tc>
        <w:tc>
          <w:tcPr>
            <w:tcW w:w="2023" w:type="dxa"/>
            <w:vMerge/>
            <w:tcBorders>
              <w:right w:val="single" w:sz="12" w:space="0" w:color="auto"/>
            </w:tcBorders>
          </w:tcPr>
          <w:p w14:paraId="3DFB11B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7BC701" w14:textId="77777777">
        <w:tc>
          <w:tcPr>
            <w:tcW w:w="1384" w:type="dxa"/>
            <w:vMerge/>
            <w:tcBorders>
              <w:left w:val="single" w:sz="12" w:space="0" w:color="auto"/>
            </w:tcBorders>
          </w:tcPr>
          <w:p w14:paraId="2E7755A5" w14:textId="77777777" w:rsidR="003B3105" w:rsidRDefault="003B3105" w:rsidP="001E533B">
            <w:pPr>
              <w:rPr>
                <w:rFonts w:ascii="新細明體" w:eastAsia="新細明體" w:hAnsi="新細明體"/>
              </w:rPr>
            </w:pPr>
          </w:p>
        </w:tc>
        <w:tc>
          <w:tcPr>
            <w:tcW w:w="1276" w:type="dxa"/>
            <w:vMerge/>
          </w:tcPr>
          <w:p w14:paraId="331D5550" w14:textId="77777777" w:rsidR="003B3105" w:rsidRDefault="003B3105" w:rsidP="001E533B">
            <w:pPr>
              <w:rPr>
                <w:rFonts w:ascii="新細明體" w:eastAsia="新細明體" w:hAnsi="新細明體"/>
              </w:rPr>
            </w:pPr>
          </w:p>
        </w:tc>
        <w:tc>
          <w:tcPr>
            <w:tcW w:w="5386" w:type="dxa"/>
            <w:tcBorders>
              <w:top w:val="nil"/>
              <w:bottom w:val="nil"/>
            </w:tcBorders>
          </w:tcPr>
          <w:p w14:paraId="075EA4A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(1)符合公司法第六章之一所定關係企業</w:t>
            </w:r>
            <w:r>
              <w:rPr>
                <w:rFonts w:ascii="新細明體" w:eastAsia="新細明體" w:hAnsi="新細明體" w:cs="新細明體" w:hint="eastAsia"/>
              </w:rPr>
              <w:lastRenderedPageBreak/>
              <w:t>所募集發行之受益證券。</w:t>
            </w:r>
          </w:p>
        </w:tc>
        <w:tc>
          <w:tcPr>
            <w:tcW w:w="5387" w:type="dxa"/>
            <w:tcBorders>
              <w:top w:val="nil"/>
              <w:bottom w:val="nil"/>
            </w:tcBorders>
          </w:tcPr>
          <w:p w14:paraId="54DF2BD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(1)符合公司法第六章之一所定關係企業</w:t>
            </w:r>
            <w:r>
              <w:rPr>
                <w:rFonts w:ascii="新細明體" w:eastAsia="新細明體" w:hAnsi="新細明體" w:cs="新細明體" w:hint="eastAsia"/>
              </w:rPr>
              <w:lastRenderedPageBreak/>
              <w:t>所募集發行之受益證券。</w:t>
            </w:r>
          </w:p>
        </w:tc>
        <w:tc>
          <w:tcPr>
            <w:tcW w:w="2023" w:type="dxa"/>
            <w:vMerge/>
            <w:tcBorders>
              <w:right w:val="single" w:sz="12" w:space="0" w:color="auto"/>
            </w:tcBorders>
          </w:tcPr>
          <w:p w14:paraId="10A12E5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814024A" w14:textId="77777777">
        <w:tc>
          <w:tcPr>
            <w:tcW w:w="1384" w:type="dxa"/>
            <w:vMerge/>
            <w:tcBorders>
              <w:left w:val="single" w:sz="12" w:space="0" w:color="auto"/>
            </w:tcBorders>
          </w:tcPr>
          <w:p w14:paraId="318E2D75" w14:textId="77777777" w:rsidR="003B3105" w:rsidRDefault="003B3105" w:rsidP="001E533B">
            <w:pPr>
              <w:rPr>
                <w:rFonts w:ascii="新細明體" w:eastAsia="新細明體" w:hAnsi="新細明體"/>
              </w:rPr>
            </w:pPr>
          </w:p>
        </w:tc>
        <w:tc>
          <w:tcPr>
            <w:tcW w:w="1276" w:type="dxa"/>
            <w:vMerge/>
          </w:tcPr>
          <w:p w14:paraId="3672AEE8" w14:textId="77777777" w:rsidR="003B3105" w:rsidRDefault="003B3105" w:rsidP="001E533B">
            <w:pPr>
              <w:rPr>
                <w:rFonts w:ascii="新細明體" w:eastAsia="新細明體" w:hAnsi="新細明體"/>
              </w:rPr>
            </w:pPr>
          </w:p>
        </w:tc>
        <w:tc>
          <w:tcPr>
            <w:tcW w:w="5386" w:type="dxa"/>
            <w:tcBorders>
              <w:top w:val="nil"/>
              <w:bottom w:val="nil"/>
            </w:tcBorders>
          </w:tcPr>
          <w:p w14:paraId="68ACC61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(2)不動產投資信託基金投資或運用之標的係公司本身或公司關係企業原所持有或發行，或不動產資產信託之委託人係為公司本身或公司關係企業者。</w:t>
            </w:r>
          </w:p>
        </w:tc>
        <w:tc>
          <w:tcPr>
            <w:tcW w:w="5387" w:type="dxa"/>
            <w:tcBorders>
              <w:top w:val="nil"/>
              <w:bottom w:val="nil"/>
            </w:tcBorders>
          </w:tcPr>
          <w:p w14:paraId="4738F31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(2)不動產投資信託基金投資或運用之標的係公司本身或公司關係企業原所持有或發行，或不動產資產信託之委託人係為公司本身或公司關係企業者。</w:t>
            </w:r>
          </w:p>
        </w:tc>
        <w:tc>
          <w:tcPr>
            <w:tcW w:w="2023" w:type="dxa"/>
            <w:vMerge/>
            <w:tcBorders>
              <w:right w:val="single" w:sz="12" w:space="0" w:color="auto"/>
            </w:tcBorders>
          </w:tcPr>
          <w:p w14:paraId="6ED3A2A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E135E5" w14:textId="77777777">
        <w:tc>
          <w:tcPr>
            <w:tcW w:w="1384" w:type="dxa"/>
            <w:vMerge/>
            <w:tcBorders>
              <w:left w:val="single" w:sz="12" w:space="0" w:color="auto"/>
            </w:tcBorders>
          </w:tcPr>
          <w:p w14:paraId="42A8A314" w14:textId="77777777" w:rsidR="003B3105" w:rsidRDefault="003B3105" w:rsidP="001E533B">
            <w:pPr>
              <w:rPr>
                <w:rFonts w:ascii="新細明體" w:eastAsia="新細明體" w:hAnsi="新細明體"/>
              </w:rPr>
            </w:pPr>
          </w:p>
        </w:tc>
        <w:tc>
          <w:tcPr>
            <w:tcW w:w="1276" w:type="dxa"/>
            <w:vMerge/>
          </w:tcPr>
          <w:p w14:paraId="5A851A12" w14:textId="77777777" w:rsidR="003B3105" w:rsidRDefault="003B3105" w:rsidP="001E533B">
            <w:pPr>
              <w:rPr>
                <w:rFonts w:ascii="新細明體" w:eastAsia="新細明體" w:hAnsi="新細明體"/>
              </w:rPr>
            </w:pPr>
          </w:p>
        </w:tc>
        <w:tc>
          <w:tcPr>
            <w:tcW w:w="5386" w:type="dxa"/>
            <w:tcBorders>
              <w:top w:val="nil"/>
              <w:bottom w:val="nil"/>
            </w:tcBorders>
          </w:tcPr>
          <w:p w14:paraId="3F45FC4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2.最近期自有資本適足比率加計前揭購買金額之試算後比率不得低於百分之二百。</w:t>
            </w:r>
          </w:p>
        </w:tc>
        <w:tc>
          <w:tcPr>
            <w:tcW w:w="5387" w:type="dxa"/>
            <w:tcBorders>
              <w:top w:val="nil"/>
              <w:bottom w:val="nil"/>
            </w:tcBorders>
          </w:tcPr>
          <w:p w14:paraId="7AEC248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2.最近期自有資本適足比率加計前揭購買金額之試算後比率不得低於百分之二百。</w:t>
            </w:r>
          </w:p>
        </w:tc>
        <w:tc>
          <w:tcPr>
            <w:tcW w:w="2023" w:type="dxa"/>
            <w:vMerge/>
            <w:tcBorders>
              <w:right w:val="single" w:sz="12" w:space="0" w:color="auto"/>
            </w:tcBorders>
          </w:tcPr>
          <w:p w14:paraId="50424F1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4A84E3" w14:textId="77777777">
        <w:tc>
          <w:tcPr>
            <w:tcW w:w="1384" w:type="dxa"/>
            <w:vMerge/>
            <w:tcBorders>
              <w:left w:val="single" w:sz="12" w:space="0" w:color="auto"/>
            </w:tcBorders>
          </w:tcPr>
          <w:p w14:paraId="4CDD546D" w14:textId="77777777" w:rsidR="003B3105" w:rsidRDefault="003B3105" w:rsidP="001E533B">
            <w:pPr>
              <w:rPr>
                <w:rFonts w:ascii="新細明體" w:eastAsia="新細明體" w:hAnsi="新細明體"/>
              </w:rPr>
            </w:pPr>
          </w:p>
        </w:tc>
        <w:tc>
          <w:tcPr>
            <w:tcW w:w="1276" w:type="dxa"/>
            <w:vMerge/>
          </w:tcPr>
          <w:p w14:paraId="61FCC950" w14:textId="77777777" w:rsidR="003B3105" w:rsidRDefault="003B3105" w:rsidP="001E533B">
            <w:pPr>
              <w:rPr>
                <w:rFonts w:ascii="新細明體" w:eastAsia="新細明體" w:hAnsi="新細明體"/>
              </w:rPr>
            </w:pPr>
          </w:p>
        </w:tc>
        <w:tc>
          <w:tcPr>
            <w:tcW w:w="5386" w:type="dxa"/>
            <w:tcBorders>
              <w:top w:val="nil"/>
              <w:bottom w:val="nil"/>
            </w:tcBorders>
          </w:tcPr>
          <w:p w14:paraId="39C3FB9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(十二)公司得依主管機關104年2月26日金管證券字第1030052033號令規定，承銷及自行買賣以臺幣或外幣計價之金融債券（含次順位金融債券），相關規範如下：</w:t>
            </w:r>
          </w:p>
        </w:tc>
        <w:tc>
          <w:tcPr>
            <w:tcW w:w="5387" w:type="dxa"/>
            <w:tcBorders>
              <w:top w:val="nil"/>
              <w:bottom w:val="nil"/>
            </w:tcBorders>
          </w:tcPr>
          <w:p w14:paraId="2E97E7E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(十二)公司得依主管機關104年2月26日金管證券字第1030052033號令規定，承銷及自行買賣以臺幣或外幣計價之金融債券（含次順位金融債券），相關規範如下：</w:t>
            </w:r>
          </w:p>
        </w:tc>
        <w:tc>
          <w:tcPr>
            <w:tcW w:w="2023" w:type="dxa"/>
            <w:vMerge/>
            <w:tcBorders>
              <w:right w:val="single" w:sz="12" w:space="0" w:color="auto"/>
            </w:tcBorders>
          </w:tcPr>
          <w:p w14:paraId="14A7B80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E1305A4" w14:textId="77777777">
        <w:tc>
          <w:tcPr>
            <w:tcW w:w="1384" w:type="dxa"/>
            <w:vMerge/>
            <w:tcBorders>
              <w:left w:val="single" w:sz="12" w:space="0" w:color="auto"/>
            </w:tcBorders>
          </w:tcPr>
          <w:p w14:paraId="22D8A460" w14:textId="77777777" w:rsidR="003B3105" w:rsidRDefault="003B3105" w:rsidP="001E533B">
            <w:pPr>
              <w:rPr>
                <w:rFonts w:ascii="新細明體" w:eastAsia="新細明體" w:hAnsi="新細明體"/>
              </w:rPr>
            </w:pPr>
          </w:p>
        </w:tc>
        <w:tc>
          <w:tcPr>
            <w:tcW w:w="1276" w:type="dxa"/>
            <w:vMerge/>
          </w:tcPr>
          <w:p w14:paraId="6C26BB49" w14:textId="77777777" w:rsidR="003B3105" w:rsidRDefault="003B3105" w:rsidP="001E533B">
            <w:pPr>
              <w:rPr>
                <w:rFonts w:ascii="新細明體" w:eastAsia="新細明體" w:hAnsi="新細明體"/>
              </w:rPr>
            </w:pPr>
          </w:p>
        </w:tc>
        <w:tc>
          <w:tcPr>
            <w:tcW w:w="5386" w:type="dxa"/>
            <w:tcBorders>
              <w:top w:val="nil"/>
              <w:bottom w:val="nil"/>
            </w:tcBorders>
          </w:tcPr>
          <w:p w14:paraId="24EBBEA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承銷及自行買賣次順位金融債券，其標的以發行銀行或該次順位金融債券最近一年內（以最新發布者為準）信用評等達一定等級以上，且未附帶任何本息止付條款者為限，公司持有總額並不得逾淨值百分之十，其中持有附帶本息止付條款者，不得超過淨值百分之五。</w:t>
            </w:r>
          </w:p>
        </w:tc>
        <w:tc>
          <w:tcPr>
            <w:tcW w:w="5387" w:type="dxa"/>
            <w:tcBorders>
              <w:top w:val="nil"/>
              <w:bottom w:val="nil"/>
            </w:tcBorders>
          </w:tcPr>
          <w:p w14:paraId="02FD770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承銷及自行買賣次順位金融債券，其標的以發行銀行或該次順位金融債券最近一年內（以最新發布者為準）信用評等達一定等級以上，且未附帶任何本息止付條款者為限，公司持有總額並不得逾淨值百分之十，其中持有附帶本息止付條款者，不得超過淨值百分之五。</w:t>
            </w:r>
          </w:p>
        </w:tc>
        <w:tc>
          <w:tcPr>
            <w:tcW w:w="2023" w:type="dxa"/>
            <w:vMerge/>
            <w:tcBorders>
              <w:right w:val="single" w:sz="12" w:space="0" w:color="auto"/>
            </w:tcBorders>
          </w:tcPr>
          <w:p w14:paraId="50CB9B5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595F2F" w14:textId="77777777">
        <w:tc>
          <w:tcPr>
            <w:tcW w:w="1384" w:type="dxa"/>
            <w:vMerge/>
            <w:tcBorders>
              <w:left w:val="single" w:sz="12" w:space="0" w:color="auto"/>
            </w:tcBorders>
          </w:tcPr>
          <w:p w14:paraId="2ACC356D" w14:textId="77777777" w:rsidR="003B3105" w:rsidRDefault="003B3105" w:rsidP="001E533B">
            <w:pPr>
              <w:rPr>
                <w:rFonts w:ascii="新細明體" w:eastAsia="新細明體" w:hAnsi="新細明體"/>
              </w:rPr>
            </w:pPr>
          </w:p>
        </w:tc>
        <w:tc>
          <w:tcPr>
            <w:tcW w:w="1276" w:type="dxa"/>
            <w:vMerge/>
          </w:tcPr>
          <w:p w14:paraId="772A700F" w14:textId="77777777" w:rsidR="003B3105" w:rsidRDefault="003B3105" w:rsidP="001E533B">
            <w:pPr>
              <w:rPr>
                <w:rFonts w:ascii="新細明體" w:eastAsia="新細明體" w:hAnsi="新細明體"/>
              </w:rPr>
            </w:pPr>
          </w:p>
        </w:tc>
        <w:tc>
          <w:tcPr>
            <w:tcW w:w="5386" w:type="dxa"/>
            <w:tcBorders>
              <w:top w:val="nil"/>
              <w:bottom w:val="nil"/>
            </w:tcBorders>
          </w:tcPr>
          <w:p w14:paraId="3219EB0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2.前項所稱信用評等達一定等級以上，係符合下列情形之一者：</w:t>
            </w:r>
          </w:p>
        </w:tc>
        <w:tc>
          <w:tcPr>
            <w:tcW w:w="5387" w:type="dxa"/>
            <w:tcBorders>
              <w:top w:val="nil"/>
              <w:bottom w:val="nil"/>
            </w:tcBorders>
          </w:tcPr>
          <w:p w14:paraId="2759736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2.前項所稱信用評等達一定等級以上，係符合下列情形之一者：</w:t>
            </w:r>
          </w:p>
        </w:tc>
        <w:tc>
          <w:tcPr>
            <w:tcW w:w="2023" w:type="dxa"/>
            <w:vMerge/>
            <w:tcBorders>
              <w:right w:val="single" w:sz="12" w:space="0" w:color="auto"/>
            </w:tcBorders>
          </w:tcPr>
          <w:p w14:paraId="2DAE3CA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A1E18B" w14:textId="77777777">
        <w:tc>
          <w:tcPr>
            <w:tcW w:w="1384" w:type="dxa"/>
            <w:vMerge/>
            <w:tcBorders>
              <w:left w:val="single" w:sz="12" w:space="0" w:color="auto"/>
            </w:tcBorders>
          </w:tcPr>
          <w:p w14:paraId="4FA54E5D" w14:textId="77777777" w:rsidR="003B3105" w:rsidRDefault="003B3105" w:rsidP="001E533B">
            <w:pPr>
              <w:rPr>
                <w:rFonts w:ascii="新細明體" w:eastAsia="新細明體" w:hAnsi="新細明體"/>
              </w:rPr>
            </w:pPr>
          </w:p>
        </w:tc>
        <w:tc>
          <w:tcPr>
            <w:tcW w:w="1276" w:type="dxa"/>
            <w:vMerge/>
          </w:tcPr>
          <w:p w14:paraId="13BC19C8" w14:textId="77777777" w:rsidR="003B3105" w:rsidRDefault="003B3105" w:rsidP="001E533B">
            <w:pPr>
              <w:rPr>
                <w:rFonts w:ascii="新細明體" w:eastAsia="新細明體" w:hAnsi="新細明體"/>
              </w:rPr>
            </w:pPr>
          </w:p>
        </w:tc>
        <w:tc>
          <w:tcPr>
            <w:tcW w:w="5386" w:type="dxa"/>
            <w:tcBorders>
              <w:top w:val="nil"/>
              <w:bottom w:val="nil"/>
            </w:tcBorders>
          </w:tcPr>
          <w:p w14:paraId="3235D8E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(1)經慕迪投資服務公司（Moody's Investors Service）評定，長期債務信用評等達Baa2級（含）以上。</w:t>
            </w:r>
          </w:p>
        </w:tc>
        <w:tc>
          <w:tcPr>
            <w:tcW w:w="5387" w:type="dxa"/>
            <w:tcBorders>
              <w:top w:val="nil"/>
              <w:bottom w:val="nil"/>
            </w:tcBorders>
          </w:tcPr>
          <w:p w14:paraId="56CE3E0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(1)經慕迪投資服務公司（Moody's Investors Service）評定，長期債務信用評等達Baa2級（含）以上。</w:t>
            </w:r>
          </w:p>
        </w:tc>
        <w:tc>
          <w:tcPr>
            <w:tcW w:w="2023" w:type="dxa"/>
            <w:vMerge/>
            <w:tcBorders>
              <w:right w:val="single" w:sz="12" w:space="0" w:color="auto"/>
            </w:tcBorders>
          </w:tcPr>
          <w:p w14:paraId="412E69E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2C04FC" w14:textId="77777777">
        <w:tc>
          <w:tcPr>
            <w:tcW w:w="1384" w:type="dxa"/>
            <w:vMerge/>
            <w:tcBorders>
              <w:left w:val="single" w:sz="12" w:space="0" w:color="auto"/>
            </w:tcBorders>
          </w:tcPr>
          <w:p w14:paraId="5956596D" w14:textId="77777777" w:rsidR="003B3105" w:rsidRDefault="003B3105" w:rsidP="001E533B">
            <w:pPr>
              <w:rPr>
                <w:rFonts w:ascii="新細明體" w:eastAsia="新細明體" w:hAnsi="新細明體"/>
              </w:rPr>
            </w:pPr>
          </w:p>
        </w:tc>
        <w:tc>
          <w:tcPr>
            <w:tcW w:w="1276" w:type="dxa"/>
            <w:vMerge/>
          </w:tcPr>
          <w:p w14:paraId="60B192D2" w14:textId="77777777" w:rsidR="003B3105" w:rsidRDefault="003B3105" w:rsidP="001E533B">
            <w:pPr>
              <w:rPr>
                <w:rFonts w:ascii="新細明體" w:eastAsia="新細明體" w:hAnsi="新細明體"/>
              </w:rPr>
            </w:pPr>
          </w:p>
        </w:tc>
        <w:tc>
          <w:tcPr>
            <w:tcW w:w="5386" w:type="dxa"/>
            <w:tcBorders>
              <w:top w:val="nil"/>
              <w:bottom w:val="nil"/>
            </w:tcBorders>
          </w:tcPr>
          <w:p w14:paraId="175A758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(2)經史丹普公司（Standard &amp; Poor's Corp.）評定，長期債務信用評等達BBB級（含）以上。</w:t>
            </w:r>
          </w:p>
        </w:tc>
        <w:tc>
          <w:tcPr>
            <w:tcW w:w="5387" w:type="dxa"/>
            <w:tcBorders>
              <w:top w:val="nil"/>
              <w:bottom w:val="nil"/>
            </w:tcBorders>
          </w:tcPr>
          <w:p w14:paraId="045BA3D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(2)經史丹普公司（Standard &amp; Poor's Corp.）評定，長期債務信用評等達BBB級（含）以上。</w:t>
            </w:r>
          </w:p>
        </w:tc>
        <w:tc>
          <w:tcPr>
            <w:tcW w:w="2023" w:type="dxa"/>
            <w:vMerge/>
            <w:tcBorders>
              <w:right w:val="single" w:sz="12" w:space="0" w:color="auto"/>
            </w:tcBorders>
          </w:tcPr>
          <w:p w14:paraId="4AA878B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77FE28" w14:textId="77777777">
        <w:tc>
          <w:tcPr>
            <w:tcW w:w="1384" w:type="dxa"/>
            <w:vMerge/>
            <w:tcBorders>
              <w:left w:val="single" w:sz="12" w:space="0" w:color="auto"/>
            </w:tcBorders>
          </w:tcPr>
          <w:p w14:paraId="7FC7FEBA" w14:textId="77777777" w:rsidR="003B3105" w:rsidRDefault="003B3105" w:rsidP="001E533B">
            <w:pPr>
              <w:rPr>
                <w:rFonts w:ascii="新細明體" w:eastAsia="新細明體" w:hAnsi="新細明體"/>
              </w:rPr>
            </w:pPr>
          </w:p>
        </w:tc>
        <w:tc>
          <w:tcPr>
            <w:tcW w:w="1276" w:type="dxa"/>
            <w:vMerge/>
          </w:tcPr>
          <w:p w14:paraId="368414D7" w14:textId="77777777" w:rsidR="003B3105" w:rsidRDefault="003B3105" w:rsidP="001E533B">
            <w:pPr>
              <w:rPr>
                <w:rFonts w:ascii="新細明體" w:eastAsia="新細明體" w:hAnsi="新細明體"/>
              </w:rPr>
            </w:pPr>
          </w:p>
        </w:tc>
        <w:tc>
          <w:tcPr>
            <w:tcW w:w="5386" w:type="dxa"/>
            <w:tcBorders>
              <w:top w:val="nil"/>
              <w:bottom w:val="nil"/>
            </w:tcBorders>
          </w:tcPr>
          <w:p w14:paraId="04204BE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(3)經惠譽評等公司（ Fitch Ratings LTD.）評定，長期債務信用評等達BBB級（含）以上。</w:t>
            </w:r>
          </w:p>
        </w:tc>
        <w:tc>
          <w:tcPr>
            <w:tcW w:w="5387" w:type="dxa"/>
            <w:tcBorders>
              <w:top w:val="nil"/>
              <w:bottom w:val="nil"/>
            </w:tcBorders>
          </w:tcPr>
          <w:p w14:paraId="660CC7E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(3)經惠譽評等公司（ Fitch Ratings LTD.）評定，長期債務信用評等達BBB級（含）以上。</w:t>
            </w:r>
          </w:p>
        </w:tc>
        <w:tc>
          <w:tcPr>
            <w:tcW w:w="2023" w:type="dxa"/>
            <w:vMerge/>
            <w:tcBorders>
              <w:right w:val="single" w:sz="12" w:space="0" w:color="auto"/>
            </w:tcBorders>
          </w:tcPr>
          <w:p w14:paraId="135E448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C8F423" w14:textId="77777777">
        <w:tc>
          <w:tcPr>
            <w:tcW w:w="1384" w:type="dxa"/>
            <w:vMerge/>
            <w:tcBorders>
              <w:left w:val="single" w:sz="12" w:space="0" w:color="auto"/>
            </w:tcBorders>
          </w:tcPr>
          <w:p w14:paraId="705E1BD2" w14:textId="77777777" w:rsidR="003B3105" w:rsidRDefault="003B3105" w:rsidP="001E533B">
            <w:pPr>
              <w:rPr>
                <w:rFonts w:ascii="新細明體" w:eastAsia="新細明體" w:hAnsi="新細明體"/>
              </w:rPr>
            </w:pPr>
          </w:p>
        </w:tc>
        <w:tc>
          <w:tcPr>
            <w:tcW w:w="1276" w:type="dxa"/>
            <w:vMerge/>
          </w:tcPr>
          <w:p w14:paraId="655E3894" w14:textId="77777777" w:rsidR="003B3105" w:rsidRDefault="003B3105" w:rsidP="001E533B">
            <w:pPr>
              <w:rPr>
                <w:rFonts w:ascii="新細明體" w:eastAsia="新細明體" w:hAnsi="新細明體"/>
              </w:rPr>
            </w:pPr>
          </w:p>
        </w:tc>
        <w:tc>
          <w:tcPr>
            <w:tcW w:w="5386" w:type="dxa"/>
            <w:tcBorders>
              <w:top w:val="nil"/>
              <w:bottom w:val="nil"/>
            </w:tcBorders>
          </w:tcPr>
          <w:p w14:paraId="6AAD782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(4)經中華信用評等股份有限公司評定，長期債務信用評等達twBBB級（含）以上。</w:t>
            </w:r>
          </w:p>
        </w:tc>
        <w:tc>
          <w:tcPr>
            <w:tcW w:w="5387" w:type="dxa"/>
            <w:tcBorders>
              <w:top w:val="nil"/>
              <w:bottom w:val="nil"/>
            </w:tcBorders>
          </w:tcPr>
          <w:p w14:paraId="1BE8649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(4)經中華信用評等股份有限公司評定，長期債務信用評等達twBBB級（含）以上。</w:t>
            </w:r>
          </w:p>
        </w:tc>
        <w:tc>
          <w:tcPr>
            <w:tcW w:w="2023" w:type="dxa"/>
            <w:vMerge/>
            <w:tcBorders>
              <w:right w:val="single" w:sz="12" w:space="0" w:color="auto"/>
            </w:tcBorders>
          </w:tcPr>
          <w:p w14:paraId="3D66B8B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11074A" w14:textId="77777777">
        <w:tc>
          <w:tcPr>
            <w:tcW w:w="1384" w:type="dxa"/>
            <w:vMerge/>
            <w:tcBorders>
              <w:left w:val="single" w:sz="12" w:space="0" w:color="auto"/>
            </w:tcBorders>
          </w:tcPr>
          <w:p w14:paraId="404AAA46" w14:textId="77777777" w:rsidR="003B3105" w:rsidRDefault="003B3105" w:rsidP="001E533B">
            <w:pPr>
              <w:rPr>
                <w:rFonts w:ascii="新細明體" w:eastAsia="新細明體" w:hAnsi="新細明體"/>
              </w:rPr>
            </w:pPr>
          </w:p>
        </w:tc>
        <w:tc>
          <w:tcPr>
            <w:tcW w:w="1276" w:type="dxa"/>
            <w:vMerge/>
          </w:tcPr>
          <w:p w14:paraId="0B7304D1" w14:textId="77777777" w:rsidR="003B3105" w:rsidRDefault="003B3105" w:rsidP="001E533B">
            <w:pPr>
              <w:rPr>
                <w:rFonts w:ascii="新細明體" w:eastAsia="新細明體" w:hAnsi="新細明體"/>
              </w:rPr>
            </w:pPr>
          </w:p>
        </w:tc>
        <w:tc>
          <w:tcPr>
            <w:tcW w:w="5386" w:type="dxa"/>
            <w:tcBorders>
              <w:top w:val="nil"/>
              <w:bottom w:val="nil"/>
            </w:tcBorders>
          </w:tcPr>
          <w:p w14:paraId="568C810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(5)經澳商惠譽國際信用評等股份有限公司台灣分公司評定，長期債務信用評等達BBB（twn）級（含）以上。</w:t>
            </w:r>
          </w:p>
        </w:tc>
        <w:tc>
          <w:tcPr>
            <w:tcW w:w="5387" w:type="dxa"/>
            <w:tcBorders>
              <w:top w:val="nil"/>
              <w:bottom w:val="nil"/>
            </w:tcBorders>
          </w:tcPr>
          <w:p w14:paraId="673F68E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(5)經澳商惠譽國際信用評等股份有限公司台灣分公司評定，長期債務信用評等達BBB（twn）級（含）以上。</w:t>
            </w:r>
          </w:p>
        </w:tc>
        <w:tc>
          <w:tcPr>
            <w:tcW w:w="2023" w:type="dxa"/>
            <w:vMerge/>
            <w:tcBorders>
              <w:right w:val="single" w:sz="12" w:space="0" w:color="auto"/>
            </w:tcBorders>
          </w:tcPr>
          <w:p w14:paraId="06A81A9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F86408" w14:textId="77777777">
        <w:tc>
          <w:tcPr>
            <w:tcW w:w="1384" w:type="dxa"/>
            <w:vMerge/>
            <w:tcBorders>
              <w:left w:val="single" w:sz="12" w:space="0" w:color="auto"/>
            </w:tcBorders>
          </w:tcPr>
          <w:p w14:paraId="7A51AC6C" w14:textId="77777777" w:rsidR="003B3105" w:rsidRDefault="003B3105" w:rsidP="001E533B">
            <w:pPr>
              <w:rPr>
                <w:rFonts w:ascii="新細明體" w:eastAsia="新細明體" w:hAnsi="新細明體"/>
              </w:rPr>
            </w:pPr>
          </w:p>
        </w:tc>
        <w:tc>
          <w:tcPr>
            <w:tcW w:w="1276" w:type="dxa"/>
            <w:vMerge/>
          </w:tcPr>
          <w:p w14:paraId="2A50A5E5" w14:textId="77777777" w:rsidR="003B3105" w:rsidRDefault="003B3105" w:rsidP="001E533B">
            <w:pPr>
              <w:rPr>
                <w:rFonts w:ascii="新細明體" w:eastAsia="新細明體" w:hAnsi="新細明體"/>
              </w:rPr>
            </w:pPr>
          </w:p>
        </w:tc>
        <w:tc>
          <w:tcPr>
            <w:tcW w:w="5386" w:type="dxa"/>
            <w:tcBorders>
              <w:top w:val="nil"/>
              <w:bottom w:val="nil"/>
            </w:tcBorders>
          </w:tcPr>
          <w:p w14:paraId="72F9030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(6)符合信用評等事業管理規則第九條第二項之國際知名信用評等機構，或經主管機關核准或認可之信用評等機構，評定為前述相當等級以上。</w:t>
            </w:r>
          </w:p>
        </w:tc>
        <w:tc>
          <w:tcPr>
            <w:tcW w:w="5387" w:type="dxa"/>
            <w:tcBorders>
              <w:top w:val="nil"/>
              <w:bottom w:val="nil"/>
            </w:tcBorders>
          </w:tcPr>
          <w:p w14:paraId="55F51BC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(6)符合信用評等事業管理規則第九條第二項之國際知名信用評等機構，或經主管機關核准或認可之信用評等機構，評定為前述相當等級以上。</w:t>
            </w:r>
          </w:p>
        </w:tc>
        <w:tc>
          <w:tcPr>
            <w:tcW w:w="2023" w:type="dxa"/>
            <w:vMerge/>
            <w:tcBorders>
              <w:right w:val="single" w:sz="12" w:space="0" w:color="auto"/>
            </w:tcBorders>
          </w:tcPr>
          <w:p w14:paraId="37374FA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F8FDCB" w14:textId="77777777">
        <w:tc>
          <w:tcPr>
            <w:tcW w:w="1384" w:type="dxa"/>
            <w:vMerge/>
            <w:tcBorders>
              <w:left w:val="single" w:sz="12" w:space="0" w:color="auto"/>
            </w:tcBorders>
          </w:tcPr>
          <w:p w14:paraId="57226BFC" w14:textId="77777777" w:rsidR="003B3105" w:rsidRDefault="003B3105" w:rsidP="001E533B">
            <w:pPr>
              <w:rPr>
                <w:rFonts w:ascii="新細明體" w:eastAsia="新細明體" w:hAnsi="新細明體"/>
              </w:rPr>
            </w:pPr>
          </w:p>
        </w:tc>
        <w:tc>
          <w:tcPr>
            <w:tcW w:w="1276" w:type="dxa"/>
            <w:vMerge/>
          </w:tcPr>
          <w:p w14:paraId="5E957DA8" w14:textId="77777777" w:rsidR="003B3105" w:rsidRDefault="003B3105" w:rsidP="001E533B">
            <w:pPr>
              <w:rPr>
                <w:rFonts w:ascii="新細明體" w:eastAsia="新細明體" w:hAnsi="新細明體"/>
              </w:rPr>
            </w:pPr>
          </w:p>
        </w:tc>
        <w:tc>
          <w:tcPr>
            <w:tcW w:w="5386" w:type="dxa"/>
            <w:tcBorders>
              <w:top w:val="nil"/>
              <w:bottom w:val="nil"/>
            </w:tcBorders>
          </w:tcPr>
          <w:p w14:paraId="2802917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3.證券商擬持有附帶本息止付條款之次順位金融債券者，其最近期之資本適足比率應達百分之一百五十以上，並已訂定相關作業程序、風險管理措施及查核程序等內部控制制度，報經董事會通過後，始得為之。</w:t>
            </w:r>
          </w:p>
        </w:tc>
        <w:tc>
          <w:tcPr>
            <w:tcW w:w="5387" w:type="dxa"/>
            <w:tcBorders>
              <w:top w:val="nil"/>
              <w:bottom w:val="nil"/>
            </w:tcBorders>
          </w:tcPr>
          <w:p w14:paraId="059255C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3.證券商擬持有附帶本息止付條款之次順位金融債券者，其最近期之資本適足比率應達百分之一百五十以上，並已訂定相關作業程序、風險管理措施及查核程序等內部控制制度，報經董事會通過後，始得為之。</w:t>
            </w:r>
          </w:p>
        </w:tc>
        <w:tc>
          <w:tcPr>
            <w:tcW w:w="2023" w:type="dxa"/>
            <w:vMerge/>
            <w:tcBorders>
              <w:right w:val="single" w:sz="12" w:space="0" w:color="auto"/>
            </w:tcBorders>
          </w:tcPr>
          <w:p w14:paraId="59F054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D708EA" w14:textId="77777777">
        <w:tc>
          <w:tcPr>
            <w:tcW w:w="1384" w:type="dxa"/>
            <w:vMerge/>
            <w:tcBorders>
              <w:left w:val="single" w:sz="12" w:space="0" w:color="auto"/>
            </w:tcBorders>
          </w:tcPr>
          <w:p w14:paraId="322D4211" w14:textId="77777777" w:rsidR="003B3105" w:rsidRDefault="003B3105" w:rsidP="001E533B">
            <w:pPr>
              <w:rPr>
                <w:rFonts w:ascii="新細明體" w:eastAsia="新細明體" w:hAnsi="新細明體"/>
              </w:rPr>
            </w:pPr>
          </w:p>
        </w:tc>
        <w:tc>
          <w:tcPr>
            <w:tcW w:w="1276" w:type="dxa"/>
            <w:vMerge/>
          </w:tcPr>
          <w:p w14:paraId="0D4C609E" w14:textId="77777777" w:rsidR="003B3105" w:rsidRDefault="003B3105" w:rsidP="001E533B">
            <w:pPr>
              <w:rPr>
                <w:rFonts w:ascii="新細明體" w:eastAsia="新細明體" w:hAnsi="新細明體"/>
              </w:rPr>
            </w:pPr>
          </w:p>
        </w:tc>
        <w:tc>
          <w:tcPr>
            <w:tcW w:w="5386" w:type="dxa"/>
            <w:tcBorders>
              <w:top w:val="nil"/>
              <w:bottom w:val="nil"/>
            </w:tcBorders>
          </w:tcPr>
          <w:p w14:paraId="46234A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4.從事首順位金融債券及符合前述條件次順位金融債券之承銷及自行買賣業務，除主管機關及證券商管理規則第2條所稱之證券相關機構另有規定外，適用公司債相關規定。</w:t>
            </w:r>
          </w:p>
        </w:tc>
        <w:tc>
          <w:tcPr>
            <w:tcW w:w="5387" w:type="dxa"/>
            <w:tcBorders>
              <w:top w:val="nil"/>
              <w:bottom w:val="nil"/>
            </w:tcBorders>
          </w:tcPr>
          <w:p w14:paraId="52DE332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4.從事首順位金融債券及符合前述條件次順位金融債券之承銷及自行買賣業務，除主管機關及證券商管理規則第2條所稱之證券相關機構另有規定外，適用公司債相關規定。</w:t>
            </w:r>
          </w:p>
        </w:tc>
        <w:tc>
          <w:tcPr>
            <w:tcW w:w="2023" w:type="dxa"/>
            <w:vMerge/>
            <w:tcBorders>
              <w:right w:val="single" w:sz="12" w:space="0" w:color="auto"/>
            </w:tcBorders>
          </w:tcPr>
          <w:p w14:paraId="315CBD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154BFD" w14:textId="77777777">
        <w:tc>
          <w:tcPr>
            <w:tcW w:w="1384" w:type="dxa"/>
            <w:vMerge/>
            <w:tcBorders>
              <w:left w:val="single" w:sz="12" w:space="0" w:color="auto"/>
            </w:tcBorders>
          </w:tcPr>
          <w:p w14:paraId="4D7DDFF5" w14:textId="77777777" w:rsidR="003B3105" w:rsidRDefault="003B3105" w:rsidP="001E533B">
            <w:pPr>
              <w:rPr>
                <w:rFonts w:ascii="新細明體" w:eastAsia="新細明體" w:hAnsi="新細明體"/>
              </w:rPr>
            </w:pPr>
          </w:p>
        </w:tc>
        <w:tc>
          <w:tcPr>
            <w:tcW w:w="1276" w:type="dxa"/>
            <w:vMerge/>
          </w:tcPr>
          <w:p w14:paraId="7105A9DF" w14:textId="77777777" w:rsidR="003B3105" w:rsidRDefault="003B3105" w:rsidP="001E533B">
            <w:pPr>
              <w:rPr>
                <w:rFonts w:ascii="新細明體" w:eastAsia="新細明體" w:hAnsi="新細明體"/>
              </w:rPr>
            </w:pPr>
          </w:p>
        </w:tc>
        <w:tc>
          <w:tcPr>
            <w:tcW w:w="5386" w:type="dxa"/>
            <w:tcBorders>
              <w:top w:val="nil"/>
              <w:bottom w:val="nil"/>
            </w:tcBorders>
          </w:tcPr>
          <w:p w14:paraId="0152B11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5.次順位金融債券不得充當證券商營業保證金。</w:t>
            </w:r>
          </w:p>
        </w:tc>
        <w:tc>
          <w:tcPr>
            <w:tcW w:w="5387" w:type="dxa"/>
            <w:tcBorders>
              <w:top w:val="nil"/>
              <w:bottom w:val="nil"/>
            </w:tcBorders>
          </w:tcPr>
          <w:p w14:paraId="5C61B55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5.次順位金融債券不得充當證券商營業保證金。</w:t>
            </w:r>
          </w:p>
        </w:tc>
        <w:tc>
          <w:tcPr>
            <w:tcW w:w="2023" w:type="dxa"/>
            <w:vMerge/>
            <w:tcBorders>
              <w:right w:val="single" w:sz="12" w:space="0" w:color="auto"/>
            </w:tcBorders>
          </w:tcPr>
          <w:p w14:paraId="2B75FA6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286FC2" w14:textId="77777777">
        <w:tc>
          <w:tcPr>
            <w:tcW w:w="1384" w:type="dxa"/>
            <w:vMerge/>
            <w:tcBorders>
              <w:left w:val="single" w:sz="12" w:space="0" w:color="auto"/>
            </w:tcBorders>
          </w:tcPr>
          <w:p w14:paraId="141116AF" w14:textId="77777777" w:rsidR="003B3105" w:rsidRDefault="003B3105" w:rsidP="001E533B">
            <w:pPr>
              <w:rPr>
                <w:rFonts w:ascii="新細明體" w:eastAsia="新細明體" w:hAnsi="新細明體"/>
              </w:rPr>
            </w:pPr>
          </w:p>
        </w:tc>
        <w:tc>
          <w:tcPr>
            <w:tcW w:w="1276" w:type="dxa"/>
            <w:vMerge/>
          </w:tcPr>
          <w:p w14:paraId="6E9FEF05" w14:textId="77777777" w:rsidR="003B3105" w:rsidRDefault="003B3105" w:rsidP="001E533B">
            <w:pPr>
              <w:rPr>
                <w:rFonts w:ascii="新細明體" w:eastAsia="新細明體" w:hAnsi="新細明體"/>
              </w:rPr>
            </w:pPr>
          </w:p>
        </w:tc>
        <w:tc>
          <w:tcPr>
            <w:tcW w:w="5386" w:type="dxa"/>
            <w:tcBorders>
              <w:top w:val="nil"/>
              <w:bottom w:val="nil"/>
            </w:tcBorders>
          </w:tcPr>
          <w:p w14:paraId="08A17C8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(十三)金融控股公司之子公司與金融控股公司</w:t>
            </w:r>
            <w:r>
              <w:rPr>
                <w:rFonts w:ascii="新細明體" w:eastAsia="新細明體" w:hAnsi="新細明體" w:cs="新細明體" w:hint="eastAsia"/>
              </w:rPr>
              <w:lastRenderedPageBreak/>
              <w:t>法第四十五條第一項各款之對象為同條第二項各款之授信以外之交易時，其條件不得優於其他同類對象，除金管會1</w:t>
            </w:r>
            <w:r>
              <w:rPr>
                <w:rFonts w:ascii="新細明體" w:eastAsia="新細明體" w:hAnsi="新細明體" w:cs="新細明體" w:hint="eastAsia"/>
                <w:b/>
                <w:color w:val="FF0000"/>
                <w:u w:val="single"/>
              </w:rPr>
              <w:t>12</w:t>
            </w:r>
            <w:r>
              <w:rPr>
                <w:rFonts w:ascii="新細明體" w:eastAsia="新細明體" w:hAnsi="新細明體" w:cs="新細明體" w:hint="eastAsia"/>
              </w:rPr>
              <w:t>年</w:t>
            </w:r>
            <w:r>
              <w:rPr>
                <w:rFonts w:ascii="新細明體" w:eastAsia="新細明體" w:hAnsi="新細明體" w:cs="新細明體" w:hint="eastAsia"/>
                <w:b/>
                <w:color w:val="FF0000"/>
                <w:u w:val="single"/>
              </w:rPr>
              <w:t>1</w:t>
            </w:r>
            <w:r>
              <w:rPr>
                <w:rFonts w:ascii="新細明體" w:eastAsia="新細明體" w:hAnsi="新細明體" w:cs="新細明體" w:hint="eastAsia"/>
              </w:rPr>
              <w:t>2月</w:t>
            </w:r>
            <w:r>
              <w:rPr>
                <w:rFonts w:ascii="新細明體" w:eastAsia="新細明體" w:hAnsi="新細明體" w:cs="新細明體" w:hint="eastAsia"/>
                <w:b/>
                <w:color w:val="FF0000"/>
                <w:u w:val="single"/>
              </w:rPr>
              <w:t>7</w:t>
            </w:r>
            <w:r>
              <w:rPr>
                <w:rFonts w:ascii="新細明體" w:eastAsia="新細明體" w:hAnsi="新細明體" w:cs="新細明體" w:hint="eastAsia"/>
              </w:rPr>
              <w:t>日金管銀法字第</w:t>
            </w:r>
            <w:r>
              <w:rPr>
                <w:rFonts w:ascii="新細明體" w:eastAsia="新細明體" w:hAnsi="新細明體" w:cs="新細明體" w:hint="eastAsia"/>
                <w:b/>
                <w:color w:val="FF0000"/>
                <w:u w:val="single"/>
              </w:rPr>
              <w:t>1</w:t>
            </w:r>
            <w:r>
              <w:rPr>
                <w:rFonts w:ascii="新細明體" w:eastAsia="新細明體" w:hAnsi="新細明體" w:cs="新細明體" w:hint="eastAsia"/>
              </w:rPr>
              <w:t>1</w:t>
            </w:r>
            <w:r>
              <w:rPr>
                <w:rFonts w:ascii="新細明體" w:eastAsia="新細明體" w:hAnsi="新細明體" w:cs="新細明體" w:hint="eastAsia"/>
                <w:b/>
                <w:color w:val="FF0000"/>
                <w:u w:val="single"/>
              </w:rPr>
              <w:t>2</w:t>
            </w:r>
            <w:r>
              <w:rPr>
                <w:rFonts w:ascii="新細明體" w:eastAsia="新細明體" w:hAnsi="新細明體" w:cs="新細明體" w:hint="eastAsia"/>
              </w:rPr>
              <w:t>0</w:t>
            </w:r>
            <w:r>
              <w:rPr>
                <w:rFonts w:ascii="新細明體" w:eastAsia="新細明體" w:hAnsi="新細明體" w:cs="新細明體" w:hint="eastAsia"/>
                <w:b/>
                <w:color w:val="FF0000"/>
                <w:u w:val="single"/>
              </w:rPr>
              <w:t>2</w:t>
            </w:r>
            <w:r>
              <w:rPr>
                <w:rFonts w:ascii="新細明體" w:eastAsia="新細明體" w:hAnsi="新細明體" w:cs="新細明體" w:hint="eastAsia"/>
              </w:rPr>
              <w:t>7</w:t>
            </w:r>
            <w:r>
              <w:rPr>
                <w:rFonts w:ascii="新細明體" w:eastAsia="新細明體" w:hAnsi="新細明體" w:cs="新細明體" w:hint="eastAsia"/>
                <w:b/>
                <w:color w:val="FF0000"/>
                <w:u w:val="single"/>
              </w:rPr>
              <w:t>38872</w:t>
            </w:r>
            <w:r>
              <w:rPr>
                <w:rFonts w:ascii="新細明體" w:eastAsia="新細明體" w:hAnsi="新細明體" w:cs="新細明體" w:hint="eastAsia"/>
              </w:rPr>
              <w:t>號</w:t>
            </w:r>
            <w:r>
              <w:rPr>
                <w:rFonts w:ascii="新細明體" w:eastAsia="新細明體" w:hAnsi="新細明體" w:cs="新細明體" w:hint="eastAsia"/>
                <w:b/>
                <w:color w:val="FF0000"/>
                <w:u w:val="single"/>
              </w:rPr>
              <w:t>及</w:t>
            </w:r>
            <w:r>
              <w:rPr>
                <w:rFonts w:ascii="新細明體" w:eastAsia="新細明體" w:hAnsi="新細明體" w:cs="新細明體" w:hint="eastAsia"/>
              </w:rPr>
              <w:t>99年10月1日金管銀法字第09900202110號函規定之例行性、常態性、具有公開性或一定金額以下之特定交易型態，且已研擬內部作業規範者，得經董事會三分之二以上董事出席及出席董事四分之三以上之決議概括授權經理部門依該作業規範辦理外，其餘應逐案經公司三分之二以上董事出席及出席董事四分之三以上之決議後為之，並應提供董事會充分之資訊，包括法令依據、案由及預定交易之條件與內容，俾供董事會作為准駁之依據。</w:t>
            </w:r>
          </w:p>
        </w:tc>
        <w:tc>
          <w:tcPr>
            <w:tcW w:w="5387" w:type="dxa"/>
            <w:tcBorders>
              <w:top w:val="nil"/>
              <w:bottom w:val="nil"/>
            </w:tcBorders>
          </w:tcPr>
          <w:p w14:paraId="36339F5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(十三)金融控股公司之子公司與金融控股公司</w:t>
            </w:r>
            <w:r>
              <w:rPr>
                <w:rFonts w:ascii="新細明體" w:eastAsia="新細明體" w:hAnsi="新細明體" w:cs="新細明體" w:hint="eastAsia"/>
              </w:rPr>
              <w:lastRenderedPageBreak/>
              <w:t>法第四十五條第一項各款之對象為同條第二項各款之授信以外之交易時，其條件不得優於其他同類對象，除金管會1</w:t>
            </w:r>
            <w:r>
              <w:rPr>
                <w:rFonts w:ascii="新細明體" w:eastAsia="新細明體" w:hAnsi="新細明體" w:cs="新細明體" w:hint="eastAsia"/>
                <w:b/>
                <w:color w:val="FF0000"/>
              </w:rPr>
              <w:t>00</w:t>
            </w:r>
            <w:r>
              <w:rPr>
                <w:rFonts w:ascii="新細明體" w:eastAsia="新細明體" w:hAnsi="新細明體" w:cs="新細明體" w:hint="eastAsia"/>
              </w:rPr>
              <w:t>年2月</w:t>
            </w:r>
            <w:r>
              <w:rPr>
                <w:rFonts w:ascii="新細明體" w:eastAsia="新細明體" w:hAnsi="新細明體" w:cs="新細明體" w:hint="eastAsia"/>
                <w:b/>
                <w:color w:val="FF0000"/>
              </w:rPr>
              <w:t>24</w:t>
            </w:r>
            <w:r>
              <w:rPr>
                <w:rFonts w:ascii="新細明體" w:eastAsia="新細明體" w:hAnsi="新細明體" w:cs="新細明體" w:hint="eastAsia"/>
              </w:rPr>
              <w:t>日金管銀法字第</w:t>
            </w:r>
            <w:r>
              <w:rPr>
                <w:rFonts w:ascii="新細明體" w:eastAsia="新細明體" w:hAnsi="新細明體" w:cs="新細明體" w:hint="eastAsia"/>
                <w:b/>
                <w:color w:val="FF0000"/>
              </w:rPr>
              <w:t>099</w:t>
            </w:r>
            <w:r>
              <w:rPr>
                <w:rFonts w:ascii="新細明體" w:eastAsia="新細明體" w:hAnsi="新細明體" w:cs="新細明體" w:hint="eastAsia"/>
              </w:rPr>
              <w:t>10</w:t>
            </w:r>
            <w:r>
              <w:rPr>
                <w:rFonts w:ascii="新細明體" w:eastAsia="新細明體" w:hAnsi="新細明體" w:cs="新細明體" w:hint="eastAsia"/>
                <w:b/>
                <w:color w:val="FF0000"/>
              </w:rPr>
              <w:t>00</w:t>
            </w:r>
            <w:r>
              <w:rPr>
                <w:rFonts w:ascii="新細明體" w:eastAsia="新細明體" w:hAnsi="新細明體" w:cs="新細明體" w:hint="eastAsia"/>
              </w:rPr>
              <w:t>7</w:t>
            </w:r>
            <w:r>
              <w:rPr>
                <w:rFonts w:ascii="新細明體" w:eastAsia="新細明體" w:hAnsi="新細明體" w:cs="新細明體" w:hint="eastAsia"/>
                <w:b/>
                <w:color w:val="FF0000"/>
              </w:rPr>
              <w:t>590</w:t>
            </w:r>
            <w:r>
              <w:rPr>
                <w:rFonts w:ascii="新細明體" w:eastAsia="新細明體" w:hAnsi="新細明體" w:cs="新細明體" w:hint="eastAsia"/>
              </w:rPr>
              <w:t>號</w:t>
            </w:r>
            <w:r>
              <w:rPr>
                <w:rFonts w:ascii="新細明體" w:eastAsia="新細明體" w:hAnsi="新細明體" w:cs="新細明體" w:hint="eastAsia"/>
                <w:b/>
                <w:color w:val="FF0000"/>
              </w:rPr>
              <w:t>令、</w:t>
            </w:r>
            <w:r>
              <w:rPr>
                <w:rFonts w:ascii="新細明體" w:eastAsia="新細明體" w:hAnsi="新細明體" w:cs="新細明體" w:hint="eastAsia"/>
              </w:rPr>
              <w:t>99年10月1日金管銀法字第0990020211</w:t>
            </w:r>
            <w:r>
              <w:rPr>
                <w:rFonts w:ascii="新細明體" w:eastAsia="新細明體" w:hAnsi="新細明體" w:cs="新細明體" w:hint="eastAsia"/>
                <w:b/>
                <w:color w:val="FF0000"/>
              </w:rPr>
              <w:t>0號函及99年5月7日金管銀法字第0990007678</w:t>
            </w:r>
            <w:r>
              <w:rPr>
                <w:rFonts w:ascii="新細明體" w:eastAsia="新細明體" w:hAnsi="新細明體" w:cs="新細明體" w:hint="eastAsia"/>
              </w:rPr>
              <w:t>0號函規定之例行性、常態性、具有公開性或一定金額以下之特定交易型態，且已研擬內部作業規範者，得經董事會三分之二以上董事出席及出席董事四分之三以上之決議概括授權經理部門依該作業規範辦理外，其餘應逐案經公司三分之二以上董事出席及出席董事四分之三以上之決議後為之，並應提供董事會充分之資訊，包括法令依據、案由及預定交易之條件與內容，俾供董事會作為准駁之依據。</w:t>
            </w:r>
          </w:p>
        </w:tc>
        <w:tc>
          <w:tcPr>
            <w:tcW w:w="2023" w:type="dxa"/>
            <w:vMerge/>
            <w:tcBorders>
              <w:right w:val="single" w:sz="12" w:space="0" w:color="auto"/>
            </w:tcBorders>
          </w:tcPr>
          <w:p w14:paraId="757575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74A032" w14:textId="77777777">
        <w:tc>
          <w:tcPr>
            <w:tcW w:w="1384" w:type="dxa"/>
            <w:vMerge/>
            <w:tcBorders>
              <w:left w:val="single" w:sz="12" w:space="0" w:color="auto"/>
            </w:tcBorders>
          </w:tcPr>
          <w:p w14:paraId="4854465C" w14:textId="77777777" w:rsidR="003B3105" w:rsidRDefault="003B3105" w:rsidP="001E533B">
            <w:pPr>
              <w:rPr>
                <w:rFonts w:ascii="新細明體" w:eastAsia="新細明體" w:hAnsi="新細明體"/>
              </w:rPr>
            </w:pPr>
          </w:p>
        </w:tc>
        <w:tc>
          <w:tcPr>
            <w:tcW w:w="1276" w:type="dxa"/>
            <w:vMerge/>
          </w:tcPr>
          <w:p w14:paraId="641C0BF0" w14:textId="77777777" w:rsidR="003B3105" w:rsidRDefault="003B3105" w:rsidP="001E533B">
            <w:pPr>
              <w:rPr>
                <w:rFonts w:ascii="新細明體" w:eastAsia="新細明體" w:hAnsi="新細明體"/>
              </w:rPr>
            </w:pPr>
          </w:p>
        </w:tc>
        <w:tc>
          <w:tcPr>
            <w:tcW w:w="5386" w:type="dxa"/>
            <w:tcBorders>
              <w:top w:val="nil"/>
              <w:bottom w:val="nil"/>
            </w:tcBorders>
          </w:tcPr>
          <w:p w14:paraId="2302F23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(十四)公司自行買賣外國有價證券及從事外國衍生性金融商品交易，不得從事信用交易，並應依主管機關109年2月3日金管證券字第1090360209號令及109年2月5日金管證券字第10903602095號令下列規定辦理：</w:t>
            </w:r>
          </w:p>
        </w:tc>
        <w:tc>
          <w:tcPr>
            <w:tcW w:w="5387" w:type="dxa"/>
            <w:tcBorders>
              <w:top w:val="nil"/>
              <w:bottom w:val="nil"/>
            </w:tcBorders>
          </w:tcPr>
          <w:p w14:paraId="4312333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(十四)公司自行買賣外國有價證券及從事外國衍生性金融商品交易，不得從事信用交易，並應依主管機關109年2月3日金管證券字第1090360209號令及109年2月5日金管證券字第10903602095號令下列規定辦理：</w:t>
            </w:r>
          </w:p>
        </w:tc>
        <w:tc>
          <w:tcPr>
            <w:tcW w:w="2023" w:type="dxa"/>
            <w:vMerge/>
            <w:tcBorders>
              <w:right w:val="single" w:sz="12" w:space="0" w:color="auto"/>
            </w:tcBorders>
          </w:tcPr>
          <w:p w14:paraId="2C44AB8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59B2C6" w14:textId="77777777">
        <w:tc>
          <w:tcPr>
            <w:tcW w:w="1384" w:type="dxa"/>
            <w:vMerge/>
            <w:tcBorders>
              <w:left w:val="single" w:sz="12" w:space="0" w:color="auto"/>
            </w:tcBorders>
          </w:tcPr>
          <w:p w14:paraId="523295AD" w14:textId="77777777" w:rsidR="003B3105" w:rsidRDefault="003B3105" w:rsidP="001E533B">
            <w:pPr>
              <w:rPr>
                <w:rFonts w:ascii="新細明體" w:eastAsia="新細明體" w:hAnsi="新細明體"/>
              </w:rPr>
            </w:pPr>
          </w:p>
        </w:tc>
        <w:tc>
          <w:tcPr>
            <w:tcW w:w="1276" w:type="dxa"/>
            <w:vMerge/>
          </w:tcPr>
          <w:p w14:paraId="79A4DCD2" w14:textId="77777777" w:rsidR="003B3105" w:rsidRDefault="003B3105" w:rsidP="001E533B">
            <w:pPr>
              <w:rPr>
                <w:rFonts w:ascii="新細明體" w:eastAsia="新細明體" w:hAnsi="新細明體"/>
              </w:rPr>
            </w:pPr>
          </w:p>
        </w:tc>
        <w:tc>
          <w:tcPr>
            <w:tcW w:w="5386" w:type="dxa"/>
            <w:tcBorders>
              <w:top w:val="nil"/>
              <w:bottom w:val="nil"/>
            </w:tcBorders>
          </w:tcPr>
          <w:p w14:paraId="44B84F5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1.公司與海外關係企業進行買賣或交易，其條件不得優於其他同類對象或有不合營業常規之情事，除委託海外關係企業為其買賣或交易者外，應依下列規定辦</w:t>
            </w:r>
            <w:r>
              <w:rPr>
                <w:rFonts w:ascii="新細明體" w:eastAsia="新細明體" w:hAnsi="新細明體" w:cs="新細明體" w:hint="eastAsia"/>
              </w:rPr>
              <w:lastRenderedPageBreak/>
              <w:t>理：</w:t>
            </w:r>
          </w:p>
        </w:tc>
        <w:tc>
          <w:tcPr>
            <w:tcW w:w="5387" w:type="dxa"/>
            <w:tcBorders>
              <w:top w:val="nil"/>
              <w:bottom w:val="nil"/>
            </w:tcBorders>
          </w:tcPr>
          <w:p w14:paraId="6DC96BF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1.公司與海外關係企業進行買賣或交易，其條件不得優於其他同類對象或有不合營業常規之情事，除委託海外關係企業為其買賣或交易者外，應依下列規定辦</w:t>
            </w:r>
            <w:r>
              <w:rPr>
                <w:rFonts w:ascii="新細明體" w:eastAsia="新細明體" w:hAnsi="新細明體" w:cs="新細明體" w:hint="eastAsia"/>
              </w:rPr>
              <w:lastRenderedPageBreak/>
              <w:t>理：</w:t>
            </w:r>
          </w:p>
        </w:tc>
        <w:tc>
          <w:tcPr>
            <w:tcW w:w="2023" w:type="dxa"/>
            <w:vMerge/>
            <w:tcBorders>
              <w:right w:val="single" w:sz="12" w:space="0" w:color="auto"/>
            </w:tcBorders>
          </w:tcPr>
          <w:p w14:paraId="6340B48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F9DDEF" w14:textId="77777777">
        <w:tc>
          <w:tcPr>
            <w:tcW w:w="1384" w:type="dxa"/>
            <w:vMerge/>
            <w:tcBorders>
              <w:left w:val="single" w:sz="12" w:space="0" w:color="auto"/>
            </w:tcBorders>
          </w:tcPr>
          <w:p w14:paraId="402C1DB6" w14:textId="77777777" w:rsidR="003B3105" w:rsidRDefault="003B3105" w:rsidP="001E533B">
            <w:pPr>
              <w:rPr>
                <w:rFonts w:ascii="新細明體" w:eastAsia="新細明體" w:hAnsi="新細明體"/>
              </w:rPr>
            </w:pPr>
          </w:p>
        </w:tc>
        <w:tc>
          <w:tcPr>
            <w:tcW w:w="1276" w:type="dxa"/>
            <w:vMerge/>
          </w:tcPr>
          <w:p w14:paraId="777CA967" w14:textId="77777777" w:rsidR="003B3105" w:rsidRDefault="003B3105" w:rsidP="001E533B">
            <w:pPr>
              <w:rPr>
                <w:rFonts w:ascii="新細明體" w:eastAsia="新細明體" w:hAnsi="新細明體"/>
              </w:rPr>
            </w:pPr>
          </w:p>
        </w:tc>
        <w:tc>
          <w:tcPr>
            <w:tcW w:w="5386" w:type="dxa"/>
            <w:tcBorders>
              <w:top w:val="nil"/>
              <w:bottom w:val="nil"/>
            </w:tcBorders>
          </w:tcPr>
          <w:p w14:paraId="047BCFE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(1)以自行買賣外國債券及從事外國衍生性金融商品交易為限。</w:t>
            </w:r>
          </w:p>
        </w:tc>
        <w:tc>
          <w:tcPr>
            <w:tcW w:w="5387" w:type="dxa"/>
            <w:tcBorders>
              <w:top w:val="nil"/>
              <w:bottom w:val="nil"/>
            </w:tcBorders>
          </w:tcPr>
          <w:p w14:paraId="1CE3919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(1)以自行買賣外國債券及從事外國衍生性金融商品交易為限。</w:t>
            </w:r>
          </w:p>
        </w:tc>
        <w:tc>
          <w:tcPr>
            <w:tcW w:w="2023" w:type="dxa"/>
            <w:vMerge/>
            <w:tcBorders>
              <w:right w:val="single" w:sz="12" w:space="0" w:color="auto"/>
            </w:tcBorders>
          </w:tcPr>
          <w:p w14:paraId="6154D19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D13C5D" w14:textId="77777777">
        <w:tc>
          <w:tcPr>
            <w:tcW w:w="1384" w:type="dxa"/>
            <w:vMerge/>
            <w:tcBorders>
              <w:left w:val="single" w:sz="12" w:space="0" w:color="auto"/>
            </w:tcBorders>
          </w:tcPr>
          <w:p w14:paraId="45C3DD42" w14:textId="77777777" w:rsidR="003B3105" w:rsidRDefault="003B3105" w:rsidP="001E533B">
            <w:pPr>
              <w:rPr>
                <w:rFonts w:ascii="新細明體" w:eastAsia="新細明體" w:hAnsi="新細明體"/>
              </w:rPr>
            </w:pPr>
          </w:p>
        </w:tc>
        <w:tc>
          <w:tcPr>
            <w:tcW w:w="1276" w:type="dxa"/>
            <w:vMerge/>
          </w:tcPr>
          <w:p w14:paraId="060C191A" w14:textId="77777777" w:rsidR="003B3105" w:rsidRDefault="003B3105" w:rsidP="001E533B">
            <w:pPr>
              <w:rPr>
                <w:rFonts w:ascii="新細明體" w:eastAsia="新細明體" w:hAnsi="新細明體"/>
              </w:rPr>
            </w:pPr>
          </w:p>
        </w:tc>
        <w:tc>
          <w:tcPr>
            <w:tcW w:w="5386" w:type="dxa"/>
            <w:tcBorders>
              <w:top w:val="nil"/>
              <w:bottom w:val="nil"/>
            </w:tcBorders>
          </w:tcPr>
          <w:p w14:paraId="192BB20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(2)應經董事會三分之二以上董事出席及出席董事四分之三以上同意辦理。但符合下列條件者，得研擬內部作業規範，並依上開決議概括授權經理部門依該作業規範辦理：</w:t>
            </w:r>
          </w:p>
        </w:tc>
        <w:tc>
          <w:tcPr>
            <w:tcW w:w="5387" w:type="dxa"/>
            <w:tcBorders>
              <w:top w:val="nil"/>
              <w:bottom w:val="nil"/>
            </w:tcBorders>
          </w:tcPr>
          <w:p w14:paraId="3C5A214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(2)應經董事會三分之二以上董事出席及出席董事四分之三以上同意辦理。但符合下列條件者，得研擬內部作業規範，並依上開決議概括授權經理部門依該作業規範辦理：</w:t>
            </w:r>
          </w:p>
        </w:tc>
        <w:tc>
          <w:tcPr>
            <w:tcW w:w="2023" w:type="dxa"/>
            <w:vMerge/>
            <w:tcBorders>
              <w:right w:val="single" w:sz="12" w:space="0" w:color="auto"/>
            </w:tcBorders>
          </w:tcPr>
          <w:p w14:paraId="68BC17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3F1E98" w14:textId="77777777">
        <w:tc>
          <w:tcPr>
            <w:tcW w:w="1384" w:type="dxa"/>
            <w:vMerge/>
            <w:tcBorders>
              <w:left w:val="single" w:sz="12" w:space="0" w:color="auto"/>
            </w:tcBorders>
          </w:tcPr>
          <w:p w14:paraId="000585AB" w14:textId="77777777" w:rsidR="003B3105" w:rsidRDefault="003B3105" w:rsidP="001E533B">
            <w:pPr>
              <w:rPr>
                <w:rFonts w:ascii="新細明體" w:eastAsia="新細明體" w:hAnsi="新細明體"/>
              </w:rPr>
            </w:pPr>
          </w:p>
        </w:tc>
        <w:tc>
          <w:tcPr>
            <w:tcW w:w="1276" w:type="dxa"/>
            <w:vMerge/>
          </w:tcPr>
          <w:p w14:paraId="6EE5A857" w14:textId="77777777" w:rsidR="003B3105" w:rsidRDefault="003B3105" w:rsidP="001E533B">
            <w:pPr>
              <w:rPr>
                <w:rFonts w:ascii="新細明體" w:eastAsia="新細明體" w:hAnsi="新細明體"/>
              </w:rPr>
            </w:pPr>
          </w:p>
        </w:tc>
        <w:tc>
          <w:tcPr>
            <w:tcW w:w="5386" w:type="dxa"/>
            <w:tcBorders>
              <w:top w:val="nil"/>
              <w:bottom w:val="nil"/>
            </w:tcBorders>
          </w:tcPr>
          <w:p w14:paraId="7B780CC9"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A.買賣或交易對象為註冊於國際證券管理機構組織(IOSCO)多邊瞭解備忘錄(MMoU)簽署會員地，領有金融業務執照且受當地主管機關監理之海外關係企業。</w:t>
            </w:r>
          </w:p>
        </w:tc>
        <w:tc>
          <w:tcPr>
            <w:tcW w:w="5387" w:type="dxa"/>
            <w:tcBorders>
              <w:top w:val="nil"/>
              <w:bottom w:val="nil"/>
            </w:tcBorders>
          </w:tcPr>
          <w:p w14:paraId="478F7A79"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A.買賣或交易對象為註冊於國際證券管理機構組織(IOSCO)多邊瞭解備忘錄(MMoU)簽署會員地，領有金融業務執照且受當地主管機關監理之海外關係企業。</w:t>
            </w:r>
          </w:p>
        </w:tc>
        <w:tc>
          <w:tcPr>
            <w:tcW w:w="2023" w:type="dxa"/>
            <w:vMerge/>
            <w:tcBorders>
              <w:right w:val="single" w:sz="12" w:space="0" w:color="auto"/>
            </w:tcBorders>
          </w:tcPr>
          <w:p w14:paraId="665A4CB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7F0E38" w14:textId="77777777">
        <w:tc>
          <w:tcPr>
            <w:tcW w:w="1384" w:type="dxa"/>
            <w:vMerge/>
            <w:tcBorders>
              <w:left w:val="single" w:sz="12" w:space="0" w:color="auto"/>
            </w:tcBorders>
          </w:tcPr>
          <w:p w14:paraId="5D857393" w14:textId="77777777" w:rsidR="003B3105" w:rsidRDefault="003B3105" w:rsidP="001E533B">
            <w:pPr>
              <w:rPr>
                <w:rFonts w:ascii="新細明體" w:eastAsia="新細明體" w:hAnsi="新細明體"/>
              </w:rPr>
            </w:pPr>
          </w:p>
        </w:tc>
        <w:tc>
          <w:tcPr>
            <w:tcW w:w="1276" w:type="dxa"/>
            <w:vMerge/>
          </w:tcPr>
          <w:p w14:paraId="63AFBDBE" w14:textId="77777777" w:rsidR="003B3105" w:rsidRDefault="003B3105" w:rsidP="001E533B">
            <w:pPr>
              <w:rPr>
                <w:rFonts w:ascii="新細明體" w:eastAsia="新細明體" w:hAnsi="新細明體"/>
              </w:rPr>
            </w:pPr>
          </w:p>
        </w:tc>
        <w:tc>
          <w:tcPr>
            <w:tcW w:w="5386" w:type="dxa"/>
            <w:tcBorders>
              <w:top w:val="nil"/>
              <w:bottom w:val="nil"/>
            </w:tcBorders>
          </w:tcPr>
          <w:p w14:paraId="680F1F14"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B.買賣或交易標的具有公開市價，或買賣或交易金額非屬重大。</w:t>
            </w:r>
          </w:p>
        </w:tc>
        <w:tc>
          <w:tcPr>
            <w:tcW w:w="5387" w:type="dxa"/>
            <w:tcBorders>
              <w:top w:val="nil"/>
              <w:bottom w:val="nil"/>
            </w:tcBorders>
          </w:tcPr>
          <w:p w14:paraId="2728222D"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B.買賣或交易標的具有公開市價，或買賣或交易金額非屬重大。</w:t>
            </w:r>
          </w:p>
        </w:tc>
        <w:tc>
          <w:tcPr>
            <w:tcW w:w="2023" w:type="dxa"/>
            <w:vMerge/>
            <w:tcBorders>
              <w:right w:val="single" w:sz="12" w:space="0" w:color="auto"/>
            </w:tcBorders>
          </w:tcPr>
          <w:p w14:paraId="49B3DF0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0C38CB" w14:textId="77777777">
        <w:tc>
          <w:tcPr>
            <w:tcW w:w="1384" w:type="dxa"/>
            <w:vMerge/>
            <w:tcBorders>
              <w:left w:val="single" w:sz="12" w:space="0" w:color="auto"/>
            </w:tcBorders>
          </w:tcPr>
          <w:p w14:paraId="6951408D" w14:textId="77777777" w:rsidR="003B3105" w:rsidRDefault="003B3105" w:rsidP="001E533B">
            <w:pPr>
              <w:rPr>
                <w:rFonts w:ascii="新細明體" w:eastAsia="新細明體" w:hAnsi="新細明體"/>
              </w:rPr>
            </w:pPr>
          </w:p>
        </w:tc>
        <w:tc>
          <w:tcPr>
            <w:tcW w:w="1276" w:type="dxa"/>
            <w:vMerge/>
          </w:tcPr>
          <w:p w14:paraId="6D2642A1" w14:textId="77777777" w:rsidR="003B3105" w:rsidRDefault="003B3105" w:rsidP="001E533B">
            <w:pPr>
              <w:rPr>
                <w:rFonts w:ascii="新細明體" w:eastAsia="新細明體" w:hAnsi="新細明體"/>
              </w:rPr>
            </w:pPr>
          </w:p>
        </w:tc>
        <w:tc>
          <w:tcPr>
            <w:tcW w:w="5386" w:type="dxa"/>
            <w:tcBorders>
              <w:top w:val="nil"/>
              <w:bottom w:val="nil"/>
            </w:tcBorders>
          </w:tcPr>
          <w:p w14:paraId="6FD6F96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(3)除金融機構兼營者依有關法令規定外，應依下列規定辦理：</w:t>
            </w:r>
          </w:p>
        </w:tc>
        <w:tc>
          <w:tcPr>
            <w:tcW w:w="5387" w:type="dxa"/>
            <w:tcBorders>
              <w:top w:val="nil"/>
              <w:bottom w:val="nil"/>
            </w:tcBorders>
          </w:tcPr>
          <w:p w14:paraId="252B837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(3)除金融機構兼營者依有關法令規定外，應依下列規定辦理：</w:t>
            </w:r>
          </w:p>
        </w:tc>
        <w:tc>
          <w:tcPr>
            <w:tcW w:w="2023" w:type="dxa"/>
            <w:vMerge/>
            <w:tcBorders>
              <w:right w:val="single" w:sz="12" w:space="0" w:color="auto"/>
            </w:tcBorders>
          </w:tcPr>
          <w:p w14:paraId="115F675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D6CEA2" w14:textId="77777777">
        <w:tc>
          <w:tcPr>
            <w:tcW w:w="1384" w:type="dxa"/>
            <w:vMerge/>
            <w:tcBorders>
              <w:left w:val="single" w:sz="12" w:space="0" w:color="auto"/>
            </w:tcBorders>
          </w:tcPr>
          <w:p w14:paraId="33EB8276" w14:textId="77777777" w:rsidR="003B3105" w:rsidRDefault="003B3105" w:rsidP="001E533B">
            <w:pPr>
              <w:rPr>
                <w:rFonts w:ascii="新細明體" w:eastAsia="新細明體" w:hAnsi="新細明體"/>
              </w:rPr>
            </w:pPr>
          </w:p>
        </w:tc>
        <w:tc>
          <w:tcPr>
            <w:tcW w:w="1276" w:type="dxa"/>
            <w:vMerge/>
          </w:tcPr>
          <w:p w14:paraId="6CF8C3FA" w14:textId="77777777" w:rsidR="003B3105" w:rsidRDefault="003B3105" w:rsidP="001E533B">
            <w:pPr>
              <w:rPr>
                <w:rFonts w:ascii="新細明體" w:eastAsia="新細明體" w:hAnsi="新細明體"/>
              </w:rPr>
            </w:pPr>
          </w:p>
        </w:tc>
        <w:tc>
          <w:tcPr>
            <w:tcW w:w="5386" w:type="dxa"/>
            <w:tcBorders>
              <w:top w:val="nil"/>
              <w:bottom w:val="nil"/>
            </w:tcBorders>
          </w:tcPr>
          <w:p w14:paraId="1E83493B"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A.與單一海外關係企業之買賣及交易總餘額不得超過公司淨值之百分之十。</w:t>
            </w:r>
          </w:p>
        </w:tc>
        <w:tc>
          <w:tcPr>
            <w:tcW w:w="5387" w:type="dxa"/>
            <w:tcBorders>
              <w:top w:val="nil"/>
              <w:bottom w:val="nil"/>
            </w:tcBorders>
          </w:tcPr>
          <w:p w14:paraId="2D9D1634"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A.與單一海外關係企業之買賣及交易總餘額不得超過公司淨值之百分之十。</w:t>
            </w:r>
          </w:p>
        </w:tc>
        <w:tc>
          <w:tcPr>
            <w:tcW w:w="2023" w:type="dxa"/>
            <w:vMerge/>
            <w:tcBorders>
              <w:right w:val="single" w:sz="12" w:space="0" w:color="auto"/>
            </w:tcBorders>
          </w:tcPr>
          <w:p w14:paraId="7E69A47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2107E3" w14:textId="77777777">
        <w:tc>
          <w:tcPr>
            <w:tcW w:w="1384" w:type="dxa"/>
            <w:vMerge/>
            <w:tcBorders>
              <w:left w:val="single" w:sz="12" w:space="0" w:color="auto"/>
            </w:tcBorders>
          </w:tcPr>
          <w:p w14:paraId="0CC1E443" w14:textId="77777777" w:rsidR="003B3105" w:rsidRDefault="003B3105" w:rsidP="001E533B">
            <w:pPr>
              <w:rPr>
                <w:rFonts w:ascii="新細明體" w:eastAsia="新細明體" w:hAnsi="新細明體"/>
              </w:rPr>
            </w:pPr>
          </w:p>
        </w:tc>
        <w:tc>
          <w:tcPr>
            <w:tcW w:w="1276" w:type="dxa"/>
            <w:vMerge/>
          </w:tcPr>
          <w:p w14:paraId="055E95CA" w14:textId="77777777" w:rsidR="003B3105" w:rsidRDefault="003B3105" w:rsidP="001E533B">
            <w:pPr>
              <w:rPr>
                <w:rFonts w:ascii="新細明體" w:eastAsia="新細明體" w:hAnsi="新細明體"/>
              </w:rPr>
            </w:pPr>
          </w:p>
        </w:tc>
        <w:tc>
          <w:tcPr>
            <w:tcW w:w="5386" w:type="dxa"/>
            <w:tcBorders>
              <w:top w:val="nil"/>
              <w:bottom w:val="nil"/>
            </w:tcBorders>
          </w:tcPr>
          <w:p w14:paraId="18A529BF"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B.與所有海外關係企業之買賣及交易總餘額不得超過公司淨值之百分之二十。</w:t>
            </w:r>
          </w:p>
        </w:tc>
        <w:tc>
          <w:tcPr>
            <w:tcW w:w="5387" w:type="dxa"/>
            <w:tcBorders>
              <w:top w:val="nil"/>
              <w:bottom w:val="nil"/>
            </w:tcBorders>
          </w:tcPr>
          <w:p w14:paraId="133F432E"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B.與所有海外關係企業之買賣及交易總餘額不得超過公司淨值之百分之二十。</w:t>
            </w:r>
          </w:p>
        </w:tc>
        <w:tc>
          <w:tcPr>
            <w:tcW w:w="2023" w:type="dxa"/>
            <w:vMerge/>
            <w:tcBorders>
              <w:right w:val="single" w:sz="12" w:space="0" w:color="auto"/>
            </w:tcBorders>
          </w:tcPr>
          <w:p w14:paraId="7D00F7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288A4A" w14:textId="77777777">
        <w:tc>
          <w:tcPr>
            <w:tcW w:w="1384" w:type="dxa"/>
            <w:vMerge/>
            <w:tcBorders>
              <w:left w:val="single" w:sz="12" w:space="0" w:color="auto"/>
            </w:tcBorders>
          </w:tcPr>
          <w:p w14:paraId="73384988" w14:textId="77777777" w:rsidR="003B3105" w:rsidRDefault="003B3105" w:rsidP="001E533B">
            <w:pPr>
              <w:rPr>
                <w:rFonts w:ascii="新細明體" w:eastAsia="新細明體" w:hAnsi="新細明體"/>
              </w:rPr>
            </w:pPr>
          </w:p>
        </w:tc>
        <w:tc>
          <w:tcPr>
            <w:tcW w:w="1276" w:type="dxa"/>
            <w:vMerge/>
          </w:tcPr>
          <w:p w14:paraId="5169DDD7" w14:textId="77777777" w:rsidR="003B3105" w:rsidRDefault="003B3105" w:rsidP="001E533B">
            <w:pPr>
              <w:rPr>
                <w:rFonts w:ascii="新細明體" w:eastAsia="新細明體" w:hAnsi="新細明體"/>
              </w:rPr>
            </w:pPr>
          </w:p>
        </w:tc>
        <w:tc>
          <w:tcPr>
            <w:tcW w:w="5386" w:type="dxa"/>
            <w:tcBorders>
              <w:top w:val="nil"/>
              <w:bottom w:val="nil"/>
            </w:tcBorders>
          </w:tcPr>
          <w:p w14:paraId="65706F9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2.上稱「買賣或交易標的具有公開市價，或買賣或交易金額非屬重大」、「買賣及交易總餘額」之認定標準，應依主管機關109年2月5日金管證券字第10903602095</w:t>
            </w:r>
            <w:r>
              <w:rPr>
                <w:rFonts w:ascii="新細明體" w:eastAsia="新細明體" w:hAnsi="新細明體" w:cs="新細明體" w:hint="eastAsia"/>
              </w:rPr>
              <w:lastRenderedPageBreak/>
              <w:t>號令規定辦理。</w:t>
            </w:r>
          </w:p>
        </w:tc>
        <w:tc>
          <w:tcPr>
            <w:tcW w:w="5387" w:type="dxa"/>
            <w:tcBorders>
              <w:top w:val="nil"/>
              <w:bottom w:val="nil"/>
            </w:tcBorders>
          </w:tcPr>
          <w:p w14:paraId="257723E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2.上稱「買賣或交易標的具有公開市價，或買賣或交易金額非屬重大」、「買賣及交易總餘額」之認定標準，應依主管機關109年2月5日金管證券字第10903602095</w:t>
            </w:r>
            <w:r>
              <w:rPr>
                <w:rFonts w:ascii="新細明體" w:eastAsia="新細明體" w:hAnsi="新細明體" w:cs="新細明體" w:hint="eastAsia"/>
              </w:rPr>
              <w:lastRenderedPageBreak/>
              <w:t>號令規定辦理。</w:t>
            </w:r>
          </w:p>
        </w:tc>
        <w:tc>
          <w:tcPr>
            <w:tcW w:w="2023" w:type="dxa"/>
            <w:vMerge/>
            <w:tcBorders>
              <w:right w:val="single" w:sz="12" w:space="0" w:color="auto"/>
            </w:tcBorders>
          </w:tcPr>
          <w:p w14:paraId="66A8C8B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79B76D" w14:textId="77777777">
        <w:tc>
          <w:tcPr>
            <w:tcW w:w="1384" w:type="dxa"/>
            <w:vMerge/>
            <w:tcBorders>
              <w:left w:val="single" w:sz="12" w:space="0" w:color="auto"/>
            </w:tcBorders>
          </w:tcPr>
          <w:p w14:paraId="524E1E1C" w14:textId="77777777" w:rsidR="003B3105" w:rsidRDefault="003B3105" w:rsidP="001E533B">
            <w:pPr>
              <w:rPr>
                <w:rFonts w:ascii="新細明體" w:eastAsia="新細明體" w:hAnsi="新細明體"/>
              </w:rPr>
            </w:pPr>
          </w:p>
        </w:tc>
        <w:tc>
          <w:tcPr>
            <w:tcW w:w="1276" w:type="dxa"/>
            <w:vMerge/>
          </w:tcPr>
          <w:p w14:paraId="19E6014D" w14:textId="77777777" w:rsidR="003B3105" w:rsidRDefault="003B3105" w:rsidP="001E533B">
            <w:pPr>
              <w:rPr>
                <w:rFonts w:ascii="新細明體" w:eastAsia="新細明體" w:hAnsi="新細明體"/>
              </w:rPr>
            </w:pPr>
          </w:p>
        </w:tc>
        <w:tc>
          <w:tcPr>
            <w:tcW w:w="5386" w:type="dxa"/>
            <w:tcBorders>
              <w:top w:val="nil"/>
              <w:bottom w:val="nil"/>
            </w:tcBorders>
          </w:tcPr>
          <w:p w14:paraId="27CC94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3.公司與海外關係企業買賣外國債券及從事外國衍生性金融商品交易，應依下列原則辦理：</w:t>
            </w:r>
          </w:p>
        </w:tc>
        <w:tc>
          <w:tcPr>
            <w:tcW w:w="5387" w:type="dxa"/>
            <w:tcBorders>
              <w:top w:val="nil"/>
              <w:bottom w:val="nil"/>
            </w:tcBorders>
          </w:tcPr>
          <w:p w14:paraId="6E6529E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3.公司與海外關係企業買賣外國債券及從事外國衍生性金融商品交易，應依下列原則辦理：</w:t>
            </w:r>
          </w:p>
        </w:tc>
        <w:tc>
          <w:tcPr>
            <w:tcW w:w="2023" w:type="dxa"/>
            <w:vMerge/>
            <w:tcBorders>
              <w:right w:val="single" w:sz="12" w:space="0" w:color="auto"/>
            </w:tcBorders>
          </w:tcPr>
          <w:p w14:paraId="3A06370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5F5452" w14:textId="77777777">
        <w:tc>
          <w:tcPr>
            <w:tcW w:w="1384" w:type="dxa"/>
            <w:vMerge/>
            <w:tcBorders>
              <w:left w:val="single" w:sz="12" w:space="0" w:color="auto"/>
            </w:tcBorders>
          </w:tcPr>
          <w:p w14:paraId="277E86B3" w14:textId="77777777" w:rsidR="003B3105" w:rsidRDefault="003B3105" w:rsidP="001E533B">
            <w:pPr>
              <w:rPr>
                <w:rFonts w:ascii="新細明體" w:eastAsia="新細明體" w:hAnsi="新細明體"/>
              </w:rPr>
            </w:pPr>
          </w:p>
        </w:tc>
        <w:tc>
          <w:tcPr>
            <w:tcW w:w="1276" w:type="dxa"/>
            <w:vMerge/>
          </w:tcPr>
          <w:p w14:paraId="3C023A0C" w14:textId="77777777" w:rsidR="003B3105" w:rsidRDefault="003B3105" w:rsidP="001E533B">
            <w:pPr>
              <w:rPr>
                <w:rFonts w:ascii="新細明體" w:eastAsia="新細明體" w:hAnsi="新細明體"/>
              </w:rPr>
            </w:pPr>
          </w:p>
        </w:tc>
        <w:tc>
          <w:tcPr>
            <w:tcW w:w="5386" w:type="dxa"/>
            <w:tcBorders>
              <w:top w:val="nil"/>
              <w:bottom w:val="nil"/>
            </w:tcBorders>
          </w:tcPr>
          <w:p w14:paraId="3C79C0F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(1)應建立與海外關係企業交易之行為規範、防止利益衝突及其他相關問題之交易政策，並經董事會核准，董事會並應建立利害關係人交易之處理程序。</w:t>
            </w:r>
          </w:p>
        </w:tc>
        <w:tc>
          <w:tcPr>
            <w:tcW w:w="5387" w:type="dxa"/>
            <w:tcBorders>
              <w:top w:val="nil"/>
              <w:bottom w:val="nil"/>
            </w:tcBorders>
          </w:tcPr>
          <w:p w14:paraId="25EC9F1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(1)應建立與海外關係企業交易之行為規範、防止利益衝突及其他相關問題之交易政策，並經董事會核准，董事會並應建立利害關係人交易之處理程序。</w:t>
            </w:r>
          </w:p>
        </w:tc>
        <w:tc>
          <w:tcPr>
            <w:tcW w:w="2023" w:type="dxa"/>
            <w:vMerge/>
            <w:tcBorders>
              <w:right w:val="single" w:sz="12" w:space="0" w:color="auto"/>
            </w:tcBorders>
          </w:tcPr>
          <w:p w14:paraId="019F392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E38228D" w14:textId="77777777">
        <w:tc>
          <w:tcPr>
            <w:tcW w:w="1384" w:type="dxa"/>
            <w:vMerge/>
            <w:tcBorders>
              <w:left w:val="single" w:sz="12" w:space="0" w:color="auto"/>
            </w:tcBorders>
          </w:tcPr>
          <w:p w14:paraId="6832A382" w14:textId="77777777" w:rsidR="003B3105" w:rsidRDefault="003B3105" w:rsidP="001E533B">
            <w:pPr>
              <w:rPr>
                <w:rFonts w:ascii="新細明體" w:eastAsia="新細明體" w:hAnsi="新細明體"/>
              </w:rPr>
            </w:pPr>
          </w:p>
        </w:tc>
        <w:tc>
          <w:tcPr>
            <w:tcW w:w="1276" w:type="dxa"/>
            <w:vMerge/>
          </w:tcPr>
          <w:p w14:paraId="79B78FBC" w14:textId="77777777" w:rsidR="003B3105" w:rsidRDefault="003B3105" w:rsidP="001E533B">
            <w:pPr>
              <w:rPr>
                <w:rFonts w:ascii="新細明體" w:eastAsia="新細明體" w:hAnsi="新細明體"/>
              </w:rPr>
            </w:pPr>
          </w:p>
        </w:tc>
        <w:tc>
          <w:tcPr>
            <w:tcW w:w="5386" w:type="dxa"/>
            <w:tcBorders>
              <w:top w:val="nil"/>
              <w:bottom w:val="nil"/>
            </w:tcBorders>
          </w:tcPr>
          <w:p w14:paraId="1212138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(2)應提出交易條件不優於其他同類對象及交易條件具合理性之證明文件供董事會為決議之參考。</w:t>
            </w:r>
          </w:p>
        </w:tc>
        <w:tc>
          <w:tcPr>
            <w:tcW w:w="5387" w:type="dxa"/>
            <w:tcBorders>
              <w:top w:val="nil"/>
              <w:bottom w:val="nil"/>
            </w:tcBorders>
          </w:tcPr>
          <w:p w14:paraId="5A8357F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(2)應提出交易條件不優於其他同類對象及交易條件具合理性之證明文件供董事會為決議之參考。</w:t>
            </w:r>
          </w:p>
        </w:tc>
        <w:tc>
          <w:tcPr>
            <w:tcW w:w="2023" w:type="dxa"/>
            <w:vMerge/>
            <w:tcBorders>
              <w:right w:val="single" w:sz="12" w:space="0" w:color="auto"/>
            </w:tcBorders>
          </w:tcPr>
          <w:p w14:paraId="7BD179B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8F12D1" w14:textId="77777777">
        <w:tc>
          <w:tcPr>
            <w:tcW w:w="1384" w:type="dxa"/>
            <w:vMerge/>
            <w:tcBorders>
              <w:left w:val="single" w:sz="12" w:space="0" w:color="auto"/>
              <w:bottom w:val="single" w:sz="12" w:space="0" w:color="auto"/>
            </w:tcBorders>
          </w:tcPr>
          <w:p w14:paraId="3A923B70"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16FF04B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064AFD4" w14:textId="77777777" w:rsidR="003B3105" w:rsidRPr="0068743F" w:rsidRDefault="0027008E" w:rsidP="0027008E">
            <w:pPr>
              <w:ind w:leftChars="208" w:left="840" w:hangingChars="115" w:hanging="299"/>
              <w:rPr>
                <w:rFonts w:ascii="新細明體" w:eastAsia="新細明體" w:hAnsi="新細明體" w:cs="新細明體"/>
              </w:rPr>
            </w:pPr>
            <w:r>
              <w:rPr>
                <w:rFonts w:ascii="新細明體" w:eastAsia="新細明體" w:hAnsi="新細明體" w:cs="新細明體" w:hint="eastAsia"/>
              </w:rPr>
              <w:t>(3)向海外關係企業取得之外國債券，如銷售予國內投資人，應明確告知投資人其取得來源。</w:t>
            </w:r>
          </w:p>
        </w:tc>
        <w:tc>
          <w:tcPr>
            <w:tcW w:w="5387" w:type="dxa"/>
            <w:tcBorders>
              <w:top w:val="nil"/>
              <w:bottom w:val="single" w:sz="12" w:space="0" w:color="auto"/>
            </w:tcBorders>
          </w:tcPr>
          <w:p w14:paraId="41BA3F91" w14:textId="77777777" w:rsidR="003B3105" w:rsidRPr="00F6439B" w:rsidRDefault="0027008E" w:rsidP="0027008E">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(3)向海外關係企業取得之外國債券，如銷售予國內投資人，應明確告知投資人其取得來源。</w:t>
            </w:r>
          </w:p>
        </w:tc>
        <w:tc>
          <w:tcPr>
            <w:tcW w:w="2023" w:type="dxa"/>
            <w:vMerge/>
            <w:tcBorders>
              <w:bottom w:val="single" w:sz="12" w:space="0" w:color="auto"/>
              <w:right w:val="single" w:sz="12" w:space="0" w:color="auto"/>
            </w:tcBorders>
          </w:tcPr>
          <w:p w14:paraId="2125789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CD1A1FC" w14:textId="77777777" w:rsidR="001E533B" w:rsidRPr="00F6439B" w:rsidRDefault="001E533B" w:rsidP="00A24FFC">
      <w:pPr>
        <w:rPr>
          <w:rFonts w:ascii="新細明體" w:eastAsia="新細明體" w:hAnsi="新細明體"/>
        </w:rPr>
      </w:pPr>
    </w:p>
    <w:p w14:paraId="21401405" w14:textId="77777777" w:rsidR="00144875" w:rsidRDefault="00A411E6">
      <w:r>
        <w:br w:type="page"/>
      </w:r>
    </w:p>
    <w:p w14:paraId="324CC4A1" w14:textId="77777777" w:rsidR="00FB3CAF" w:rsidRPr="008D1BB1" w:rsidRDefault="00FB3CAF" w:rsidP="00FB3CAF">
      <w:pPr>
        <w:pStyle w:val="1"/>
        <w:spacing w:line="360" w:lineRule="exact"/>
        <w:rPr>
          <w:rFonts w:ascii="新細明體" w:eastAsia="新細明體" w:hAnsi="新細明體" w:cs="新細明體"/>
          <w:color w:val="000000"/>
        </w:rPr>
      </w:pPr>
      <w:r w:rsidRPr="00903DE7">
        <w:rPr>
          <w:rFonts w:ascii="新細明體" w:eastAsia="新細明體" w:hAnsi="新細明體" w:cs="新細明體" w:hint="eastAsia"/>
          <w:color w:val="000000"/>
        </w:rPr>
        <w:lastRenderedPageBreak/>
        <w:t>證券商內部控制制度標準規範</w:t>
      </w:r>
      <w:proofErr w:type="gramStart"/>
      <w:r w:rsidRPr="00903DE7">
        <w:rPr>
          <w:rFonts w:ascii="新細明體" w:eastAsia="新細明體" w:hAnsi="新細明體" w:cs="新細明體" w:hint="eastAsia"/>
          <w:color w:val="000000"/>
        </w:rPr>
        <w:t>─</w:t>
      </w:r>
      <w:proofErr w:type="gramEnd"/>
      <w:r w:rsidRPr="00903DE7">
        <w:rPr>
          <w:rFonts w:ascii="新細明體" w:eastAsia="新細明體" w:hAnsi="新細明體" w:cs="新細明體" w:hint="eastAsia"/>
          <w:color w:val="000000"/>
        </w:rPr>
        <w:t>內部控制制度依據修正對照表</w:t>
      </w:r>
      <w:bookmarkStart w:id="2" w:name="Basis_Eff_Date"/>
      <w:r w:rsidR="00BF247F">
        <w:rPr>
          <w:rFonts w:ascii="新細明體" w:eastAsia="新細明體" w:hAnsi="新細明體" w:cs="新細明體" w:hint="eastAsia"/>
          <w:color w:val="000000"/>
        </w:rPr>
        <w:t>草案</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68"/>
        <w:gridCol w:w="5356"/>
        <w:gridCol w:w="5357"/>
        <w:gridCol w:w="2011"/>
      </w:tblGrid>
      <w:tr w:rsidR="00A943E4" w:rsidRPr="00F6439B" w14:paraId="7CA27A0F" w14:textId="77777777" w:rsidTr="00C6790C">
        <w:trPr>
          <w:tblHeader/>
        </w:trPr>
        <w:tc>
          <w:tcPr>
            <w:tcW w:w="1384" w:type="dxa"/>
            <w:tcBorders>
              <w:top w:val="single" w:sz="12" w:space="0" w:color="auto"/>
              <w:left w:val="single" w:sz="12" w:space="0" w:color="auto"/>
              <w:bottom w:val="single" w:sz="12" w:space="0" w:color="auto"/>
            </w:tcBorders>
          </w:tcPr>
          <w:p w14:paraId="462032E6" w14:textId="77777777" w:rsidR="00A943E4" w:rsidRPr="00F6439B" w:rsidRDefault="00A943E4">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5C4D764C" w14:textId="77777777" w:rsidR="00A943E4" w:rsidRPr="00F6439B" w:rsidRDefault="00A943E4">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22C02C29"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修正後</w:t>
            </w:r>
            <w:r>
              <w:rPr>
                <w:rFonts w:ascii="新細明體" w:eastAsia="新細明體" w:hAnsi="新細明體" w:cs="新細明體" w:hint="eastAsia"/>
                <w:color w:val="000000"/>
              </w:rPr>
              <w:t>依據資料</w:t>
            </w:r>
          </w:p>
        </w:tc>
        <w:tc>
          <w:tcPr>
            <w:tcW w:w="5387" w:type="dxa"/>
            <w:tcBorders>
              <w:top w:val="single" w:sz="12" w:space="0" w:color="auto"/>
              <w:bottom w:val="single" w:sz="12" w:space="0" w:color="auto"/>
            </w:tcBorders>
          </w:tcPr>
          <w:p w14:paraId="416ADF9C"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修正前</w:t>
            </w:r>
            <w:r>
              <w:rPr>
                <w:rFonts w:ascii="新細明體" w:eastAsia="新細明體" w:hAnsi="新細明體" w:cs="新細明體" w:hint="eastAsia"/>
                <w:color w:val="000000"/>
              </w:rPr>
              <w:t>依據資料</w:t>
            </w:r>
          </w:p>
        </w:tc>
        <w:tc>
          <w:tcPr>
            <w:tcW w:w="2023" w:type="dxa"/>
            <w:tcBorders>
              <w:top w:val="single" w:sz="12" w:space="0" w:color="auto"/>
              <w:bottom w:val="single" w:sz="12" w:space="0" w:color="auto"/>
              <w:right w:val="single" w:sz="12" w:space="0" w:color="auto"/>
            </w:tcBorders>
          </w:tcPr>
          <w:p w14:paraId="3C113EC9"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A943E4" w:rsidRPr="00F6439B" w14:paraId="06275A68" w14:textId="77777777">
        <w:tc>
          <w:tcPr>
            <w:tcW w:w="1384" w:type="dxa"/>
            <w:vMerge w:val="restart"/>
            <w:tcBorders>
              <w:top w:val="single" w:sz="12" w:space="0" w:color="auto"/>
              <w:left w:val="single" w:sz="12" w:space="0" w:color="auto"/>
            </w:tcBorders>
          </w:tcPr>
          <w:p w14:paraId="003197E0" w14:textId="77777777" w:rsidR="00A943E4" w:rsidRPr="00F6439B" w:rsidRDefault="00A943E4">
            <w:pPr>
              <w:rPr>
                <w:rFonts w:ascii="新細明體" w:eastAsia="新細明體" w:hAnsi="新細明體"/>
              </w:rPr>
            </w:pPr>
            <w:r>
              <w:rPr>
                <w:rFonts w:ascii="新細明體" w:eastAsia="新細明體" w:hAnsi="新細明體" w:hint="eastAsia"/>
              </w:rPr>
              <w:t>CA-12120</w:t>
            </w:r>
          </w:p>
        </w:tc>
        <w:tc>
          <w:tcPr>
            <w:tcW w:w="1276" w:type="dxa"/>
            <w:vMerge w:val="restart"/>
            <w:tcBorders>
              <w:top w:val="single" w:sz="12" w:space="0" w:color="auto"/>
            </w:tcBorders>
          </w:tcPr>
          <w:p w14:paraId="099C1AC2" w14:textId="77777777" w:rsidR="00A943E4" w:rsidRPr="00F6439B" w:rsidRDefault="00A943E4">
            <w:pPr>
              <w:rPr>
                <w:rFonts w:ascii="新細明體" w:eastAsia="新細明體" w:hAnsi="新細明體"/>
              </w:rPr>
            </w:pPr>
            <w:r>
              <w:rPr>
                <w:rFonts w:ascii="新細明體" w:eastAsia="新細明體" w:hAnsi="新細明體" w:hint="eastAsia"/>
              </w:rPr>
              <w:t>買賣決策執行</w:t>
            </w:r>
          </w:p>
        </w:tc>
        <w:tc>
          <w:tcPr>
            <w:tcW w:w="5386" w:type="dxa"/>
            <w:tcBorders>
              <w:top w:val="single" w:sz="12" w:space="0" w:color="auto"/>
              <w:bottom w:val="nil"/>
            </w:tcBorders>
          </w:tcPr>
          <w:p w14:paraId="44BB48AA"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5387" w:type="dxa"/>
            <w:tcBorders>
              <w:top w:val="single" w:sz="12" w:space="0" w:color="auto"/>
              <w:bottom w:val="nil"/>
            </w:tcBorders>
          </w:tcPr>
          <w:p w14:paraId="5FDF6ED9"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2023" w:type="dxa"/>
            <w:vMerge w:val="restart"/>
            <w:tcBorders>
              <w:top w:val="single" w:sz="12" w:space="0" w:color="auto"/>
              <w:right w:val="single" w:sz="12" w:space="0" w:color="auto"/>
            </w:tcBorders>
          </w:tcPr>
          <w:p w14:paraId="19AC683B" w14:textId="77777777" w:rsidR="00A943E4" w:rsidRPr="00F6439B" w:rsidRDefault="00A943E4">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配合主管機關函令修改。</w:t>
            </w:r>
          </w:p>
        </w:tc>
      </w:tr>
      <w:tr w:rsidR="00A943E4" w:rsidRPr="00F6439B" w14:paraId="0C2F8073" w14:textId="77777777">
        <w:tc>
          <w:tcPr>
            <w:tcW w:w="1384" w:type="dxa"/>
            <w:vMerge/>
            <w:tcBorders>
              <w:left w:val="single" w:sz="12" w:space="0" w:color="auto"/>
            </w:tcBorders>
          </w:tcPr>
          <w:p w14:paraId="2EC3F963" w14:textId="77777777" w:rsidR="00A943E4" w:rsidRDefault="00A943E4">
            <w:pPr>
              <w:rPr>
                <w:rFonts w:ascii="新細明體" w:eastAsia="新細明體" w:hAnsi="新細明體"/>
              </w:rPr>
            </w:pPr>
          </w:p>
        </w:tc>
        <w:tc>
          <w:tcPr>
            <w:tcW w:w="1276" w:type="dxa"/>
            <w:vMerge/>
          </w:tcPr>
          <w:p w14:paraId="2F4307E2" w14:textId="77777777" w:rsidR="00A943E4" w:rsidRDefault="00A943E4">
            <w:pPr>
              <w:rPr>
                <w:rFonts w:ascii="新細明體" w:eastAsia="新細明體" w:hAnsi="新細明體"/>
              </w:rPr>
            </w:pPr>
          </w:p>
        </w:tc>
        <w:tc>
          <w:tcPr>
            <w:tcW w:w="5386" w:type="dxa"/>
            <w:tcBorders>
              <w:top w:val="nil"/>
              <w:bottom w:val="nil"/>
            </w:tcBorders>
          </w:tcPr>
          <w:p w14:paraId="3992366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(一)證交所營業細則第28-1、58、96、97條</w:t>
            </w:r>
          </w:p>
        </w:tc>
        <w:tc>
          <w:tcPr>
            <w:tcW w:w="5387" w:type="dxa"/>
            <w:tcBorders>
              <w:top w:val="nil"/>
              <w:bottom w:val="nil"/>
            </w:tcBorders>
          </w:tcPr>
          <w:p w14:paraId="393EDED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(一)證交所營業細則第28-1、58、96、97條</w:t>
            </w:r>
          </w:p>
        </w:tc>
        <w:tc>
          <w:tcPr>
            <w:tcW w:w="2023" w:type="dxa"/>
            <w:vMerge/>
            <w:tcBorders>
              <w:right w:val="single" w:sz="12" w:space="0" w:color="auto"/>
            </w:tcBorders>
          </w:tcPr>
          <w:p w14:paraId="3BF6F55B"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C00B8F4" w14:textId="77777777">
        <w:tc>
          <w:tcPr>
            <w:tcW w:w="1384" w:type="dxa"/>
            <w:vMerge/>
            <w:tcBorders>
              <w:left w:val="single" w:sz="12" w:space="0" w:color="auto"/>
            </w:tcBorders>
          </w:tcPr>
          <w:p w14:paraId="155F6DD5" w14:textId="77777777" w:rsidR="00A943E4" w:rsidRDefault="00A943E4">
            <w:pPr>
              <w:rPr>
                <w:rFonts w:ascii="新細明體" w:eastAsia="新細明體" w:hAnsi="新細明體"/>
              </w:rPr>
            </w:pPr>
          </w:p>
        </w:tc>
        <w:tc>
          <w:tcPr>
            <w:tcW w:w="1276" w:type="dxa"/>
            <w:vMerge/>
          </w:tcPr>
          <w:p w14:paraId="090544BF" w14:textId="77777777" w:rsidR="00A943E4" w:rsidRDefault="00A943E4">
            <w:pPr>
              <w:rPr>
                <w:rFonts w:ascii="新細明體" w:eastAsia="新細明體" w:hAnsi="新細明體"/>
              </w:rPr>
            </w:pPr>
          </w:p>
        </w:tc>
        <w:tc>
          <w:tcPr>
            <w:tcW w:w="5386" w:type="dxa"/>
            <w:tcBorders>
              <w:top w:val="nil"/>
              <w:bottom w:val="nil"/>
            </w:tcBorders>
          </w:tcPr>
          <w:p w14:paraId="2A2B07F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(二)證券商管理規則第19、20、31-3、32、43條</w:t>
            </w:r>
          </w:p>
        </w:tc>
        <w:tc>
          <w:tcPr>
            <w:tcW w:w="5387" w:type="dxa"/>
            <w:tcBorders>
              <w:top w:val="nil"/>
              <w:bottom w:val="nil"/>
            </w:tcBorders>
          </w:tcPr>
          <w:p w14:paraId="4FDE3C0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(二)證券商管理規則第19、20、31-3、32、43條</w:t>
            </w:r>
          </w:p>
        </w:tc>
        <w:tc>
          <w:tcPr>
            <w:tcW w:w="2023" w:type="dxa"/>
            <w:vMerge/>
            <w:tcBorders>
              <w:right w:val="single" w:sz="12" w:space="0" w:color="auto"/>
            </w:tcBorders>
          </w:tcPr>
          <w:p w14:paraId="1BB14DC1"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E959075" w14:textId="77777777">
        <w:tc>
          <w:tcPr>
            <w:tcW w:w="1384" w:type="dxa"/>
            <w:vMerge/>
            <w:tcBorders>
              <w:left w:val="single" w:sz="12" w:space="0" w:color="auto"/>
            </w:tcBorders>
          </w:tcPr>
          <w:p w14:paraId="42C472A9" w14:textId="77777777" w:rsidR="00A943E4" w:rsidRDefault="00A943E4">
            <w:pPr>
              <w:rPr>
                <w:rFonts w:ascii="新細明體" w:eastAsia="新細明體" w:hAnsi="新細明體"/>
              </w:rPr>
            </w:pPr>
          </w:p>
        </w:tc>
        <w:tc>
          <w:tcPr>
            <w:tcW w:w="1276" w:type="dxa"/>
            <w:vMerge/>
          </w:tcPr>
          <w:p w14:paraId="056F875A" w14:textId="77777777" w:rsidR="00A943E4" w:rsidRDefault="00A943E4">
            <w:pPr>
              <w:rPr>
                <w:rFonts w:ascii="新細明體" w:eastAsia="新細明體" w:hAnsi="新細明體"/>
              </w:rPr>
            </w:pPr>
          </w:p>
        </w:tc>
        <w:tc>
          <w:tcPr>
            <w:tcW w:w="5386" w:type="dxa"/>
            <w:tcBorders>
              <w:top w:val="nil"/>
              <w:bottom w:val="nil"/>
            </w:tcBorders>
          </w:tcPr>
          <w:p w14:paraId="22A845E3"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(三)信託投資公司管理規則第26條</w:t>
            </w:r>
          </w:p>
        </w:tc>
        <w:tc>
          <w:tcPr>
            <w:tcW w:w="5387" w:type="dxa"/>
            <w:tcBorders>
              <w:top w:val="nil"/>
              <w:bottom w:val="nil"/>
            </w:tcBorders>
          </w:tcPr>
          <w:p w14:paraId="2C8DE62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(三)信託投資公司管理規則第26條</w:t>
            </w:r>
          </w:p>
        </w:tc>
        <w:tc>
          <w:tcPr>
            <w:tcW w:w="2023" w:type="dxa"/>
            <w:vMerge/>
            <w:tcBorders>
              <w:right w:val="single" w:sz="12" w:space="0" w:color="auto"/>
            </w:tcBorders>
          </w:tcPr>
          <w:p w14:paraId="5AC3A4C9"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05CE159" w14:textId="77777777">
        <w:tc>
          <w:tcPr>
            <w:tcW w:w="1384" w:type="dxa"/>
            <w:vMerge/>
            <w:tcBorders>
              <w:left w:val="single" w:sz="12" w:space="0" w:color="auto"/>
            </w:tcBorders>
          </w:tcPr>
          <w:p w14:paraId="6AD39F62" w14:textId="77777777" w:rsidR="00A943E4" w:rsidRDefault="00A943E4">
            <w:pPr>
              <w:rPr>
                <w:rFonts w:ascii="新細明體" w:eastAsia="新細明體" w:hAnsi="新細明體"/>
              </w:rPr>
            </w:pPr>
          </w:p>
        </w:tc>
        <w:tc>
          <w:tcPr>
            <w:tcW w:w="1276" w:type="dxa"/>
            <w:vMerge/>
          </w:tcPr>
          <w:p w14:paraId="53966C5C" w14:textId="77777777" w:rsidR="00A943E4" w:rsidRDefault="00A943E4">
            <w:pPr>
              <w:rPr>
                <w:rFonts w:ascii="新細明體" w:eastAsia="新細明體" w:hAnsi="新細明體"/>
              </w:rPr>
            </w:pPr>
          </w:p>
        </w:tc>
        <w:tc>
          <w:tcPr>
            <w:tcW w:w="5386" w:type="dxa"/>
            <w:tcBorders>
              <w:top w:val="nil"/>
              <w:bottom w:val="nil"/>
            </w:tcBorders>
          </w:tcPr>
          <w:p w14:paraId="4CC7E5B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(四)證券交易法第75、83、84條</w:t>
            </w:r>
          </w:p>
        </w:tc>
        <w:tc>
          <w:tcPr>
            <w:tcW w:w="5387" w:type="dxa"/>
            <w:tcBorders>
              <w:top w:val="nil"/>
              <w:bottom w:val="nil"/>
            </w:tcBorders>
          </w:tcPr>
          <w:p w14:paraId="2BC413E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(四)證券交易法第75、83、84條</w:t>
            </w:r>
          </w:p>
        </w:tc>
        <w:tc>
          <w:tcPr>
            <w:tcW w:w="2023" w:type="dxa"/>
            <w:vMerge/>
            <w:tcBorders>
              <w:right w:val="single" w:sz="12" w:space="0" w:color="auto"/>
            </w:tcBorders>
          </w:tcPr>
          <w:p w14:paraId="1C3BE214"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93DD146" w14:textId="77777777">
        <w:tc>
          <w:tcPr>
            <w:tcW w:w="1384" w:type="dxa"/>
            <w:vMerge/>
            <w:tcBorders>
              <w:left w:val="single" w:sz="12" w:space="0" w:color="auto"/>
            </w:tcBorders>
          </w:tcPr>
          <w:p w14:paraId="463DE321" w14:textId="77777777" w:rsidR="00A943E4" w:rsidRDefault="00A943E4">
            <w:pPr>
              <w:rPr>
                <w:rFonts w:ascii="新細明體" w:eastAsia="新細明體" w:hAnsi="新細明體"/>
              </w:rPr>
            </w:pPr>
          </w:p>
        </w:tc>
        <w:tc>
          <w:tcPr>
            <w:tcW w:w="1276" w:type="dxa"/>
            <w:vMerge/>
          </w:tcPr>
          <w:p w14:paraId="4F3F53FC" w14:textId="77777777" w:rsidR="00A943E4" w:rsidRDefault="00A943E4">
            <w:pPr>
              <w:rPr>
                <w:rFonts w:ascii="新細明體" w:eastAsia="新細明體" w:hAnsi="新細明體"/>
              </w:rPr>
            </w:pPr>
          </w:p>
        </w:tc>
        <w:tc>
          <w:tcPr>
            <w:tcW w:w="5386" w:type="dxa"/>
            <w:tcBorders>
              <w:top w:val="nil"/>
              <w:bottom w:val="nil"/>
            </w:tcBorders>
          </w:tcPr>
          <w:p w14:paraId="4B85D31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(五)銀行法第108條</w:t>
            </w:r>
          </w:p>
        </w:tc>
        <w:tc>
          <w:tcPr>
            <w:tcW w:w="5387" w:type="dxa"/>
            <w:tcBorders>
              <w:top w:val="nil"/>
              <w:bottom w:val="nil"/>
            </w:tcBorders>
          </w:tcPr>
          <w:p w14:paraId="67FF424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(五)銀行法第108條</w:t>
            </w:r>
          </w:p>
        </w:tc>
        <w:tc>
          <w:tcPr>
            <w:tcW w:w="2023" w:type="dxa"/>
            <w:vMerge/>
            <w:tcBorders>
              <w:right w:val="single" w:sz="12" w:space="0" w:color="auto"/>
            </w:tcBorders>
          </w:tcPr>
          <w:p w14:paraId="469EE82D"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4D38E32" w14:textId="77777777">
        <w:tc>
          <w:tcPr>
            <w:tcW w:w="1384" w:type="dxa"/>
            <w:vMerge/>
            <w:tcBorders>
              <w:left w:val="single" w:sz="12" w:space="0" w:color="auto"/>
            </w:tcBorders>
          </w:tcPr>
          <w:p w14:paraId="33925CD9" w14:textId="77777777" w:rsidR="00A943E4" w:rsidRDefault="00A943E4">
            <w:pPr>
              <w:rPr>
                <w:rFonts w:ascii="新細明體" w:eastAsia="新細明體" w:hAnsi="新細明體"/>
              </w:rPr>
            </w:pPr>
          </w:p>
        </w:tc>
        <w:tc>
          <w:tcPr>
            <w:tcW w:w="1276" w:type="dxa"/>
            <w:vMerge/>
          </w:tcPr>
          <w:p w14:paraId="1100B253" w14:textId="77777777" w:rsidR="00A943E4" w:rsidRDefault="00A943E4">
            <w:pPr>
              <w:rPr>
                <w:rFonts w:ascii="新細明體" w:eastAsia="新細明體" w:hAnsi="新細明體"/>
              </w:rPr>
            </w:pPr>
          </w:p>
        </w:tc>
        <w:tc>
          <w:tcPr>
            <w:tcW w:w="5386" w:type="dxa"/>
            <w:tcBorders>
              <w:top w:val="nil"/>
              <w:bottom w:val="nil"/>
            </w:tcBorders>
          </w:tcPr>
          <w:p w14:paraId="62C5C42F"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(六)111年8月3日金管證券字第1110382981號令</w:t>
            </w:r>
          </w:p>
        </w:tc>
        <w:tc>
          <w:tcPr>
            <w:tcW w:w="5387" w:type="dxa"/>
            <w:tcBorders>
              <w:top w:val="nil"/>
              <w:bottom w:val="nil"/>
            </w:tcBorders>
          </w:tcPr>
          <w:p w14:paraId="58043B7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(六)111年8月3日金管證券字第1110382981號令</w:t>
            </w:r>
          </w:p>
        </w:tc>
        <w:tc>
          <w:tcPr>
            <w:tcW w:w="2023" w:type="dxa"/>
            <w:vMerge/>
            <w:tcBorders>
              <w:right w:val="single" w:sz="12" w:space="0" w:color="auto"/>
            </w:tcBorders>
          </w:tcPr>
          <w:p w14:paraId="3569BF10"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C47B064" w14:textId="77777777">
        <w:tc>
          <w:tcPr>
            <w:tcW w:w="1384" w:type="dxa"/>
            <w:vMerge/>
            <w:tcBorders>
              <w:left w:val="single" w:sz="12" w:space="0" w:color="auto"/>
            </w:tcBorders>
          </w:tcPr>
          <w:p w14:paraId="3302F5A6" w14:textId="77777777" w:rsidR="00A943E4" w:rsidRDefault="00A943E4">
            <w:pPr>
              <w:rPr>
                <w:rFonts w:ascii="新細明體" w:eastAsia="新細明體" w:hAnsi="新細明體"/>
              </w:rPr>
            </w:pPr>
          </w:p>
        </w:tc>
        <w:tc>
          <w:tcPr>
            <w:tcW w:w="1276" w:type="dxa"/>
            <w:vMerge/>
          </w:tcPr>
          <w:p w14:paraId="1396A0D9" w14:textId="77777777" w:rsidR="00A943E4" w:rsidRDefault="00A943E4">
            <w:pPr>
              <w:rPr>
                <w:rFonts w:ascii="新細明體" w:eastAsia="新細明體" w:hAnsi="新細明體"/>
              </w:rPr>
            </w:pPr>
          </w:p>
        </w:tc>
        <w:tc>
          <w:tcPr>
            <w:tcW w:w="5386" w:type="dxa"/>
            <w:tcBorders>
              <w:top w:val="nil"/>
              <w:bottom w:val="nil"/>
            </w:tcBorders>
          </w:tcPr>
          <w:p w14:paraId="14A5598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(七)金融控股公司法第45條、財政部金融局93年6月18日台融局（一）字第 0938011078號函、金管會99年10月1日金管銀法字第09900202110號函及金管會</w:t>
            </w:r>
            <w:r>
              <w:rPr>
                <w:rFonts w:ascii="新細明體" w:eastAsia="新細明體" w:hAnsi="新細明體" w:cs="新細明體" w:hint="eastAsia"/>
                <w:b/>
                <w:color w:val="FF0000"/>
                <w:u w:val="single"/>
              </w:rPr>
              <w:t>112</w:t>
            </w:r>
            <w:r>
              <w:rPr>
                <w:rFonts w:ascii="新細明體" w:eastAsia="新細明體" w:hAnsi="新細明體" w:cs="新細明體" w:hint="eastAsia"/>
              </w:rPr>
              <w:t>年</w:t>
            </w:r>
            <w:r>
              <w:rPr>
                <w:rFonts w:ascii="新細明體" w:eastAsia="新細明體" w:hAnsi="新細明體" w:cs="新細明體" w:hint="eastAsia"/>
                <w:b/>
                <w:color w:val="FF0000"/>
                <w:u w:val="single"/>
              </w:rPr>
              <w:t>12</w:t>
            </w:r>
            <w:r>
              <w:rPr>
                <w:rFonts w:ascii="新細明體" w:eastAsia="新細明體" w:hAnsi="新細明體" w:cs="新細明體" w:hint="eastAsia"/>
              </w:rPr>
              <w:t>月</w:t>
            </w:r>
            <w:r>
              <w:rPr>
                <w:rFonts w:ascii="新細明體" w:eastAsia="新細明體" w:hAnsi="新細明體" w:cs="新細明體" w:hint="eastAsia"/>
                <w:b/>
                <w:color w:val="FF0000"/>
                <w:u w:val="single"/>
              </w:rPr>
              <w:t>0</w:t>
            </w:r>
            <w:r>
              <w:rPr>
                <w:rFonts w:ascii="新細明體" w:eastAsia="新細明體" w:hAnsi="新細明體" w:cs="新細明體" w:hint="eastAsia"/>
              </w:rPr>
              <w:t>7日金管銀法字第</w:t>
            </w:r>
            <w:r>
              <w:rPr>
                <w:rFonts w:ascii="新細明體" w:eastAsia="新細明體" w:hAnsi="新細明體" w:cs="新細明體" w:hint="eastAsia"/>
                <w:b/>
                <w:color w:val="FF0000"/>
                <w:u w:val="single"/>
              </w:rPr>
              <w:t>112</w:t>
            </w:r>
            <w:r>
              <w:rPr>
                <w:rFonts w:ascii="新細明體" w:eastAsia="新細明體" w:hAnsi="新細明體" w:cs="新細明體" w:hint="eastAsia"/>
              </w:rPr>
              <w:t>0</w:t>
            </w:r>
            <w:r>
              <w:rPr>
                <w:rFonts w:ascii="新細明體" w:eastAsia="新細明體" w:hAnsi="新細明體" w:cs="新細明體" w:hint="eastAsia"/>
                <w:b/>
                <w:color w:val="FF0000"/>
                <w:u w:val="single"/>
              </w:rPr>
              <w:t>2</w:t>
            </w:r>
            <w:r>
              <w:rPr>
                <w:rFonts w:ascii="新細明體" w:eastAsia="新細明體" w:hAnsi="新細明體" w:cs="新細明體" w:hint="eastAsia"/>
              </w:rPr>
              <w:t>7</w:t>
            </w:r>
            <w:r>
              <w:rPr>
                <w:rFonts w:ascii="新細明體" w:eastAsia="新細明體" w:hAnsi="新細明體" w:cs="新細明體" w:hint="eastAsia"/>
                <w:b/>
                <w:color w:val="FF0000"/>
                <w:u w:val="single"/>
              </w:rPr>
              <w:t>388</w:t>
            </w:r>
            <w:r>
              <w:rPr>
                <w:rFonts w:ascii="新細明體" w:eastAsia="新細明體" w:hAnsi="新細明體" w:cs="新細明體" w:hint="eastAsia"/>
              </w:rPr>
              <w:t>7</w:t>
            </w:r>
            <w:r>
              <w:rPr>
                <w:rFonts w:ascii="新細明體" w:eastAsia="新細明體" w:hAnsi="新細明體" w:cs="新細明體" w:hint="eastAsia"/>
                <w:b/>
                <w:color w:val="FF0000"/>
                <w:u w:val="single"/>
              </w:rPr>
              <w:t>2</w:t>
            </w:r>
            <w:r>
              <w:rPr>
                <w:rFonts w:ascii="新細明體" w:eastAsia="新細明體" w:hAnsi="新細明體" w:cs="新細明體" w:hint="eastAsia"/>
              </w:rPr>
              <w:t>號</w:t>
            </w:r>
          </w:p>
        </w:tc>
        <w:tc>
          <w:tcPr>
            <w:tcW w:w="5387" w:type="dxa"/>
            <w:tcBorders>
              <w:top w:val="nil"/>
              <w:bottom w:val="nil"/>
            </w:tcBorders>
          </w:tcPr>
          <w:p w14:paraId="26679E4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(七)金融控股公司法第45條、財政部金融局93年6月18日台融局（一）字第 0938011078號函、金管會</w:t>
            </w:r>
            <w:r>
              <w:rPr>
                <w:rFonts w:ascii="新細明體" w:eastAsia="新細明體" w:hAnsi="新細明體" w:cs="新細明體" w:hint="eastAsia"/>
                <w:b/>
                <w:color w:val="FF0000"/>
              </w:rPr>
              <w:t>100年2月24日金管銀法字第09910007590號令、金管會</w:t>
            </w:r>
            <w:r>
              <w:rPr>
                <w:rFonts w:ascii="新細明體" w:eastAsia="新細明體" w:hAnsi="新細明體" w:cs="新細明體" w:hint="eastAsia"/>
              </w:rPr>
              <w:t>99年10月1日金管銀法字第09900202110號函及金管會</w:t>
            </w:r>
            <w:r>
              <w:rPr>
                <w:rFonts w:ascii="新細明體" w:eastAsia="新細明體" w:hAnsi="新細明體" w:cs="新細明體" w:hint="eastAsia"/>
                <w:b/>
                <w:color w:val="FF0000"/>
              </w:rPr>
              <w:t>99</w:t>
            </w:r>
            <w:r>
              <w:rPr>
                <w:rFonts w:ascii="新細明體" w:eastAsia="新細明體" w:hAnsi="新細明體" w:cs="新細明體" w:hint="eastAsia"/>
              </w:rPr>
              <w:t>年</w:t>
            </w:r>
            <w:r>
              <w:rPr>
                <w:rFonts w:ascii="新細明體" w:eastAsia="新細明體" w:hAnsi="新細明體" w:cs="新細明體" w:hint="eastAsia"/>
                <w:b/>
                <w:color w:val="FF0000"/>
              </w:rPr>
              <w:t>5</w:t>
            </w:r>
            <w:r>
              <w:rPr>
                <w:rFonts w:ascii="新細明體" w:eastAsia="新細明體" w:hAnsi="新細明體" w:cs="新細明體" w:hint="eastAsia"/>
              </w:rPr>
              <w:t>月7日金管銀法字第</w:t>
            </w:r>
            <w:r>
              <w:rPr>
                <w:rFonts w:ascii="新細明體" w:eastAsia="新細明體" w:hAnsi="新細明體" w:cs="新細明體" w:hint="eastAsia"/>
                <w:b/>
                <w:color w:val="FF0000"/>
              </w:rPr>
              <w:t>099</w:t>
            </w:r>
            <w:r>
              <w:rPr>
                <w:rFonts w:ascii="新細明體" w:eastAsia="新細明體" w:hAnsi="新細明體" w:cs="新細明體" w:hint="eastAsia"/>
              </w:rPr>
              <w:t>0</w:t>
            </w:r>
            <w:r>
              <w:rPr>
                <w:rFonts w:ascii="新細明體" w:eastAsia="新細明體" w:hAnsi="新細明體" w:cs="新細明體" w:hint="eastAsia"/>
                <w:b/>
                <w:color w:val="FF0000"/>
              </w:rPr>
              <w:t>00</w:t>
            </w:r>
            <w:r>
              <w:rPr>
                <w:rFonts w:ascii="新細明體" w:eastAsia="新細明體" w:hAnsi="新細明體" w:cs="新細明體" w:hint="eastAsia"/>
              </w:rPr>
              <w:t>7</w:t>
            </w:r>
            <w:r>
              <w:rPr>
                <w:rFonts w:ascii="新細明體" w:eastAsia="新細明體" w:hAnsi="新細明體" w:cs="新細明體" w:hint="eastAsia"/>
                <w:b/>
                <w:color w:val="FF0000"/>
              </w:rPr>
              <w:t>6</w:t>
            </w:r>
            <w:r>
              <w:rPr>
                <w:rFonts w:ascii="新細明體" w:eastAsia="新細明體" w:hAnsi="新細明體" w:cs="新細明體" w:hint="eastAsia"/>
              </w:rPr>
              <w:t>7</w:t>
            </w:r>
            <w:r>
              <w:rPr>
                <w:rFonts w:ascii="新細明體" w:eastAsia="新細明體" w:hAnsi="新細明體" w:cs="新細明體" w:hint="eastAsia"/>
                <w:b/>
                <w:color w:val="FF0000"/>
              </w:rPr>
              <w:t>80</w:t>
            </w:r>
            <w:r>
              <w:rPr>
                <w:rFonts w:ascii="新細明體" w:eastAsia="新細明體" w:hAnsi="新細明體" w:cs="新細明體" w:hint="eastAsia"/>
              </w:rPr>
              <w:t>號</w:t>
            </w:r>
            <w:r>
              <w:rPr>
                <w:rFonts w:ascii="新細明體" w:eastAsia="新細明體" w:hAnsi="新細明體" w:cs="新細明體" w:hint="eastAsia"/>
                <w:b/>
                <w:color w:val="FF0000"/>
              </w:rPr>
              <w:t>函</w:t>
            </w:r>
          </w:p>
        </w:tc>
        <w:tc>
          <w:tcPr>
            <w:tcW w:w="2023" w:type="dxa"/>
            <w:vMerge/>
            <w:tcBorders>
              <w:right w:val="single" w:sz="12" w:space="0" w:color="auto"/>
            </w:tcBorders>
          </w:tcPr>
          <w:p w14:paraId="7030D426"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E1D9B27" w14:textId="77777777">
        <w:tc>
          <w:tcPr>
            <w:tcW w:w="1384" w:type="dxa"/>
            <w:vMerge/>
            <w:tcBorders>
              <w:left w:val="single" w:sz="12" w:space="0" w:color="auto"/>
            </w:tcBorders>
          </w:tcPr>
          <w:p w14:paraId="0546A61A" w14:textId="77777777" w:rsidR="00A943E4" w:rsidRDefault="00A943E4">
            <w:pPr>
              <w:rPr>
                <w:rFonts w:ascii="新細明體" w:eastAsia="新細明體" w:hAnsi="新細明體"/>
              </w:rPr>
            </w:pPr>
          </w:p>
        </w:tc>
        <w:tc>
          <w:tcPr>
            <w:tcW w:w="1276" w:type="dxa"/>
            <w:vMerge/>
          </w:tcPr>
          <w:p w14:paraId="025EE8A6" w14:textId="77777777" w:rsidR="00A943E4" w:rsidRDefault="00A943E4">
            <w:pPr>
              <w:rPr>
                <w:rFonts w:ascii="新細明體" w:eastAsia="新細明體" w:hAnsi="新細明體"/>
              </w:rPr>
            </w:pPr>
          </w:p>
        </w:tc>
        <w:tc>
          <w:tcPr>
            <w:tcW w:w="5386" w:type="dxa"/>
            <w:tcBorders>
              <w:top w:val="nil"/>
              <w:bottom w:val="nil"/>
            </w:tcBorders>
          </w:tcPr>
          <w:p w14:paraId="0E0FDA6F"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(八)證期會89年5月31日(89)台財證(二)第01730號函</w:t>
            </w:r>
          </w:p>
        </w:tc>
        <w:tc>
          <w:tcPr>
            <w:tcW w:w="5387" w:type="dxa"/>
            <w:tcBorders>
              <w:top w:val="nil"/>
              <w:bottom w:val="nil"/>
            </w:tcBorders>
          </w:tcPr>
          <w:p w14:paraId="113B9BA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(八)證期會89年5月31日(89)台財證(二)第01730號函</w:t>
            </w:r>
          </w:p>
        </w:tc>
        <w:tc>
          <w:tcPr>
            <w:tcW w:w="2023" w:type="dxa"/>
            <w:vMerge/>
            <w:tcBorders>
              <w:right w:val="single" w:sz="12" w:space="0" w:color="auto"/>
            </w:tcBorders>
          </w:tcPr>
          <w:p w14:paraId="36CF69E1"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44B642B" w14:textId="77777777">
        <w:tc>
          <w:tcPr>
            <w:tcW w:w="1384" w:type="dxa"/>
            <w:vMerge/>
            <w:tcBorders>
              <w:left w:val="single" w:sz="12" w:space="0" w:color="auto"/>
            </w:tcBorders>
          </w:tcPr>
          <w:p w14:paraId="60D60CC5" w14:textId="77777777" w:rsidR="00A943E4" w:rsidRDefault="00A943E4">
            <w:pPr>
              <w:rPr>
                <w:rFonts w:ascii="新細明體" w:eastAsia="新細明體" w:hAnsi="新細明體"/>
              </w:rPr>
            </w:pPr>
          </w:p>
        </w:tc>
        <w:tc>
          <w:tcPr>
            <w:tcW w:w="1276" w:type="dxa"/>
            <w:vMerge/>
          </w:tcPr>
          <w:p w14:paraId="0EB4C719" w14:textId="77777777" w:rsidR="00A943E4" w:rsidRDefault="00A943E4">
            <w:pPr>
              <w:rPr>
                <w:rFonts w:ascii="新細明體" w:eastAsia="新細明體" w:hAnsi="新細明體"/>
              </w:rPr>
            </w:pPr>
          </w:p>
        </w:tc>
        <w:tc>
          <w:tcPr>
            <w:tcW w:w="5386" w:type="dxa"/>
            <w:tcBorders>
              <w:top w:val="nil"/>
              <w:bottom w:val="nil"/>
            </w:tcBorders>
          </w:tcPr>
          <w:p w14:paraId="4846C247"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(九)11</w:t>
            </w:r>
            <w:r>
              <w:rPr>
                <w:rFonts w:ascii="新細明體" w:eastAsia="新細明體" w:hAnsi="新細明體" w:cs="新細明體" w:hint="eastAsia"/>
                <w:b/>
                <w:color w:val="FF0000"/>
                <w:u w:val="single"/>
              </w:rPr>
              <w:t>4</w:t>
            </w:r>
            <w:r>
              <w:rPr>
                <w:rFonts w:ascii="新細明體" w:eastAsia="新細明體" w:hAnsi="新細明體" w:cs="新細明體" w:hint="eastAsia"/>
              </w:rPr>
              <w:t>年</w:t>
            </w:r>
            <w:r>
              <w:rPr>
                <w:rFonts w:ascii="新細明體" w:eastAsia="新細明體" w:hAnsi="新細明體" w:cs="新細明體" w:hint="eastAsia"/>
                <w:b/>
                <w:color w:val="FF0000"/>
                <w:u w:val="single"/>
              </w:rPr>
              <w:t>4</w:t>
            </w:r>
            <w:r>
              <w:rPr>
                <w:rFonts w:ascii="新細明體" w:eastAsia="新細明體" w:hAnsi="新細明體" w:cs="新細明體" w:hint="eastAsia"/>
              </w:rPr>
              <w:t>月2</w:t>
            </w:r>
            <w:r>
              <w:rPr>
                <w:rFonts w:ascii="新細明體" w:eastAsia="新細明體" w:hAnsi="新細明體" w:cs="新細明體" w:hint="eastAsia"/>
                <w:b/>
                <w:color w:val="FF0000"/>
                <w:u w:val="single"/>
              </w:rPr>
              <w:t>3</w:t>
            </w:r>
            <w:r>
              <w:rPr>
                <w:rFonts w:ascii="新細明體" w:eastAsia="新細明體" w:hAnsi="新細明體" w:cs="新細明體" w:hint="eastAsia"/>
              </w:rPr>
              <w:t>日金管證券字第11</w:t>
            </w:r>
            <w:r>
              <w:rPr>
                <w:rFonts w:ascii="新細明體" w:eastAsia="新細明體" w:hAnsi="新細明體" w:cs="新細明體" w:hint="eastAsia"/>
                <w:b/>
                <w:color w:val="FF0000"/>
                <w:u w:val="single"/>
              </w:rPr>
              <w:t>4</w:t>
            </w:r>
            <w:r>
              <w:rPr>
                <w:rFonts w:ascii="新細明體" w:eastAsia="新細明體" w:hAnsi="新細明體" w:cs="新細明體" w:hint="eastAsia"/>
              </w:rPr>
              <w:t>0381</w:t>
            </w:r>
            <w:r>
              <w:rPr>
                <w:rFonts w:ascii="新細明體" w:eastAsia="新細明體" w:hAnsi="新細明體" w:cs="新細明體" w:hint="eastAsia"/>
                <w:b/>
                <w:color w:val="FF0000"/>
                <w:u w:val="single"/>
              </w:rPr>
              <w:t>481</w:t>
            </w:r>
            <w:r>
              <w:rPr>
                <w:rFonts w:ascii="新細明體" w:eastAsia="新細明體" w:hAnsi="新細明體" w:cs="新細明體" w:hint="eastAsia"/>
              </w:rPr>
              <w:t>號令</w:t>
            </w:r>
          </w:p>
        </w:tc>
        <w:tc>
          <w:tcPr>
            <w:tcW w:w="5387" w:type="dxa"/>
            <w:tcBorders>
              <w:top w:val="nil"/>
              <w:bottom w:val="nil"/>
            </w:tcBorders>
          </w:tcPr>
          <w:p w14:paraId="5D98007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(九)11</w:t>
            </w:r>
            <w:r>
              <w:rPr>
                <w:rFonts w:ascii="新細明體" w:eastAsia="新細明體" w:hAnsi="新細明體" w:cs="新細明體" w:hint="eastAsia"/>
                <w:b/>
                <w:color w:val="FF0000"/>
              </w:rPr>
              <w:t>1</w:t>
            </w:r>
            <w:r>
              <w:rPr>
                <w:rFonts w:ascii="新細明體" w:eastAsia="新細明體" w:hAnsi="新細明體" w:cs="新細明體" w:hint="eastAsia"/>
              </w:rPr>
              <w:t>年</w:t>
            </w:r>
            <w:r>
              <w:rPr>
                <w:rFonts w:ascii="新細明體" w:eastAsia="新細明體" w:hAnsi="新細明體" w:cs="新細明體" w:hint="eastAsia"/>
                <w:b/>
                <w:color w:val="FF0000"/>
              </w:rPr>
              <w:t>3</w:t>
            </w:r>
            <w:r>
              <w:rPr>
                <w:rFonts w:ascii="新細明體" w:eastAsia="新細明體" w:hAnsi="新細明體" w:cs="新細明體" w:hint="eastAsia"/>
              </w:rPr>
              <w:t>月2</w:t>
            </w:r>
            <w:r>
              <w:rPr>
                <w:rFonts w:ascii="新細明體" w:eastAsia="新細明體" w:hAnsi="新細明體" w:cs="新細明體" w:hint="eastAsia"/>
                <w:b/>
                <w:color w:val="FF0000"/>
              </w:rPr>
              <w:t>1</w:t>
            </w:r>
            <w:r>
              <w:rPr>
                <w:rFonts w:ascii="新細明體" w:eastAsia="新細明體" w:hAnsi="新細明體" w:cs="新細明體" w:hint="eastAsia"/>
              </w:rPr>
              <w:t>日金管證券字第11</w:t>
            </w:r>
            <w:r>
              <w:rPr>
                <w:rFonts w:ascii="新細明體" w:eastAsia="新細明體" w:hAnsi="新細明體" w:cs="新細明體" w:hint="eastAsia"/>
                <w:b/>
                <w:color w:val="FF0000"/>
              </w:rPr>
              <w:t>1</w:t>
            </w:r>
            <w:r>
              <w:rPr>
                <w:rFonts w:ascii="新細明體" w:eastAsia="新細明體" w:hAnsi="新細明體" w:cs="新細明體" w:hint="eastAsia"/>
              </w:rPr>
              <w:t>0381</w:t>
            </w:r>
            <w:r>
              <w:rPr>
                <w:rFonts w:ascii="新細明體" w:eastAsia="新細明體" w:hAnsi="新細明體" w:cs="新細明體" w:hint="eastAsia"/>
                <w:b/>
                <w:color w:val="FF0000"/>
              </w:rPr>
              <w:t>062</w:t>
            </w:r>
            <w:r>
              <w:rPr>
                <w:rFonts w:ascii="新細明體" w:eastAsia="新細明體" w:hAnsi="新細明體" w:cs="新細明體" w:hint="eastAsia"/>
              </w:rPr>
              <w:t>號令</w:t>
            </w:r>
          </w:p>
        </w:tc>
        <w:tc>
          <w:tcPr>
            <w:tcW w:w="2023" w:type="dxa"/>
            <w:vMerge/>
            <w:tcBorders>
              <w:right w:val="single" w:sz="12" w:space="0" w:color="auto"/>
            </w:tcBorders>
          </w:tcPr>
          <w:p w14:paraId="2B570444"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3B4FD52" w14:textId="77777777">
        <w:tc>
          <w:tcPr>
            <w:tcW w:w="1384" w:type="dxa"/>
            <w:vMerge/>
            <w:tcBorders>
              <w:left w:val="single" w:sz="12" w:space="0" w:color="auto"/>
            </w:tcBorders>
          </w:tcPr>
          <w:p w14:paraId="1B4E99B1" w14:textId="77777777" w:rsidR="00A943E4" w:rsidRDefault="00A943E4">
            <w:pPr>
              <w:rPr>
                <w:rFonts w:ascii="新細明體" w:eastAsia="新細明體" w:hAnsi="新細明體"/>
              </w:rPr>
            </w:pPr>
          </w:p>
        </w:tc>
        <w:tc>
          <w:tcPr>
            <w:tcW w:w="1276" w:type="dxa"/>
            <w:vMerge/>
          </w:tcPr>
          <w:p w14:paraId="316AED80" w14:textId="77777777" w:rsidR="00A943E4" w:rsidRDefault="00A943E4">
            <w:pPr>
              <w:rPr>
                <w:rFonts w:ascii="新細明體" w:eastAsia="新細明體" w:hAnsi="新細明體"/>
              </w:rPr>
            </w:pPr>
          </w:p>
        </w:tc>
        <w:tc>
          <w:tcPr>
            <w:tcW w:w="5386" w:type="dxa"/>
            <w:tcBorders>
              <w:top w:val="nil"/>
              <w:bottom w:val="nil"/>
            </w:tcBorders>
          </w:tcPr>
          <w:p w14:paraId="6E2604F0"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(十)</w:t>
            </w:r>
            <w:r>
              <w:rPr>
                <w:rFonts w:ascii="新細明體" w:eastAsia="新細明體" w:hAnsi="新細明體" w:cs="新細明體" w:hint="eastAsia"/>
                <w:b/>
                <w:color w:val="FF0000"/>
                <w:u w:val="single"/>
              </w:rPr>
              <w:t>11</w:t>
            </w:r>
            <w:r>
              <w:rPr>
                <w:rFonts w:ascii="新細明體" w:eastAsia="新細明體" w:hAnsi="新細明體" w:cs="新細明體" w:hint="eastAsia"/>
              </w:rPr>
              <w:t>2年</w:t>
            </w:r>
            <w:r>
              <w:rPr>
                <w:rFonts w:ascii="新細明體" w:eastAsia="新細明體" w:hAnsi="新細明體" w:cs="新細明體" w:hint="eastAsia"/>
                <w:b/>
                <w:color w:val="FF0000"/>
                <w:u w:val="single"/>
              </w:rPr>
              <w:t>10</w:t>
            </w:r>
            <w:r>
              <w:rPr>
                <w:rFonts w:ascii="新細明體" w:eastAsia="新細明體" w:hAnsi="新細明體" w:cs="新細明體" w:hint="eastAsia"/>
              </w:rPr>
              <w:t>月</w:t>
            </w:r>
            <w:r>
              <w:rPr>
                <w:rFonts w:ascii="新細明體" w:eastAsia="新細明體" w:hAnsi="新細明體" w:cs="新細明體" w:hint="eastAsia"/>
                <w:b/>
                <w:color w:val="FF0000"/>
                <w:u w:val="single"/>
              </w:rPr>
              <w:t>1</w:t>
            </w:r>
            <w:r>
              <w:rPr>
                <w:rFonts w:ascii="新細明體" w:eastAsia="新細明體" w:hAnsi="新細明體" w:cs="新細明體" w:hint="eastAsia"/>
              </w:rPr>
              <w:t>7日</w:t>
            </w:r>
            <w:r>
              <w:rPr>
                <w:rFonts w:ascii="新細明體" w:eastAsia="新細明體" w:hAnsi="新細明體" w:cs="新細明體" w:hint="eastAsia"/>
                <w:b/>
                <w:color w:val="FF0000"/>
                <w:u w:val="single"/>
              </w:rPr>
              <w:t>金管</w:t>
            </w:r>
            <w:r>
              <w:rPr>
                <w:rFonts w:ascii="新細明體" w:eastAsia="新細明體" w:hAnsi="新細明體" w:cs="新細明體" w:hint="eastAsia"/>
              </w:rPr>
              <w:t>證</w:t>
            </w:r>
            <w:r>
              <w:rPr>
                <w:rFonts w:ascii="新細明體" w:eastAsia="新細明體" w:hAnsi="新細明體" w:cs="新細明體" w:hint="eastAsia"/>
                <w:b/>
                <w:color w:val="FF0000"/>
                <w:u w:val="single"/>
              </w:rPr>
              <w:t>券</w:t>
            </w:r>
            <w:r>
              <w:rPr>
                <w:rFonts w:ascii="新細明體" w:eastAsia="新細明體" w:hAnsi="新細明體" w:cs="新細明體" w:hint="eastAsia"/>
              </w:rPr>
              <w:t>字第</w:t>
            </w:r>
            <w:r>
              <w:rPr>
                <w:rFonts w:ascii="新細明體" w:eastAsia="新細明體" w:hAnsi="新細明體" w:cs="新細明體" w:hint="eastAsia"/>
                <w:b/>
                <w:color w:val="FF0000"/>
                <w:u w:val="single"/>
              </w:rPr>
              <w:t>11</w:t>
            </w:r>
            <w:r>
              <w:rPr>
                <w:rFonts w:ascii="新細明體" w:eastAsia="新細明體" w:hAnsi="新細明體" w:cs="新細明體" w:hint="eastAsia"/>
              </w:rPr>
              <w:t>20</w:t>
            </w:r>
            <w:r>
              <w:rPr>
                <w:rFonts w:ascii="新細明體" w:eastAsia="新細明體" w:hAnsi="新細明體" w:cs="新細明體" w:hint="eastAsia"/>
                <w:b/>
                <w:color w:val="FF0000"/>
                <w:u w:val="single"/>
              </w:rPr>
              <w:t>38</w:t>
            </w:r>
            <w:r>
              <w:rPr>
                <w:rFonts w:ascii="新細明體" w:eastAsia="新細明體" w:hAnsi="新細明體" w:cs="新細明體" w:hint="eastAsia"/>
              </w:rPr>
              <w:t>4</w:t>
            </w:r>
            <w:r>
              <w:rPr>
                <w:rFonts w:ascii="新細明體" w:eastAsia="新細明體" w:hAnsi="新細明體" w:cs="新細明體" w:hint="eastAsia"/>
                <w:b/>
                <w:color w:val="FF0000"/>
                <w:u w:val="single"/>
              </w:rPr>
              <w:t>356</w:t>
            </w:r>
            <w:r>
              <w:rPr>
                <w:rFonts w:ascii="新細明體" w:eastAsia="新細明體" w:hAnsi="新細明體" w:cs="新細明體" w:hint="eastAsia"/>
              </w:rPr>
              <w:t>號</w:t>
            </w:r>
            <w:r>
              <w:rPr>
                <w:rFonts w:ascii="新細明體" w:eastAsia="新細明體" w:hAnsi="新細明體" w:cs="新細明體" w:hint="eastAsia"/>
                <w:b/>
                <w:color w:val="FF0000"/>
                <w:u w:val="single"/>
              </w:rPr>
              <w:t>令</w:t>
            </w:r>
          </w:p>
        </w:tc>
        <w:tc>
          <w:tcPr>
            <w:tcW w:w="5387" w:type="dxa"/>
            <w:tcBorders>
              <w:top w:val="nil"/>
              <w:bottom w:val="nil"/>
            </w:tcBorders>
          </w:tcPr>
          <w:p w14:paraId="4398694B"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(十)</w:t>
            </w:r>
            <w:r>
              <w:rPr>
                <w:rFonts w:ascii="新細明體" w:eastAsia="新細明體" w:hAnsi="新細明體" w:cs="新細明體" w:hint="eastAsia"/>
                <w:b/>
                <w:color w:val="FF0000"/>
              </w:rPr>
              <w:t>證期會9</w:t>
            </w:r>
            <w:r>
              <w:rPr>
                <w:rFonts w:ascii="新細明體" w:eastAsia="新細明體" w:hAnsi="新細明體" w:cs="新細明體" w:hint="eastAsia"/>
              </w:rPr>
              <w:t>2年</w:t>
            </w:r>
            <w:r>
              <w:rPr>
                <w:rFonts w:ascii="新細明體" w:eastAsia="新細明體" w:hAnsi="新細明體" w:cs="新細明體" w:hint="eastAsia"/>
                <w:b/>
                <w:color w:val="FF0000"/>
              </w:rPr>
              <w:t>3</w:t>
            </w:r>
            <w:r>
              <w:rPr>
                <w:rFonts w:ascii="新細明體" w:eastAsia="新細明體" w:hAnsi="新細明體" w:cs="新細明體" w:hint="eastAsia"/>
              </w:rPr>
              <w:t>月</w:t>
            </w:r>
            <w:r>
              <w:rPr>
                <w:rFonts w:ascii="新細明體" w:eastAsia="新細明體" w:hAnsi="新細明體" w:cs="新細明體" w:hint="eastAsia"/>
                <w:b/>
                <w:color w:val="FF0000"/>
              </w:rPr>
              <w:t>2</w:t>
            </w:r>
            <w:r>
              <w:rPr>
                <w:rFonts w:ascii="新細明體" w:eastAsia="新細明體" w:hAnsi="新細明體" w:cs="新細明體" w:hint="eastAsia"/>
              </w:rPr>
              <w:t>7日</w:t>
            </w:r>
            <w:r>
              <w:rPr>
                <w:rFonts w:ascii="新細明體" w:eastAsia="新細明體" w:hAnsi="新細明體" w:cs="新細明體" w:hint="eastAsia"/>
                <w:b/>
                <w:color w:val="FF0000"/>
              </w:rPr>
              <w:t>台財</w:t>
            </w:r>
            <w:r>
              <w:rPr>
                <w:rFonts w:ascii="新細明體" w:eastAsia="新細明體" w:hAnsi="新細明體" w:cs="新細明體" w:hint="eastAsia"/>
              </w:rPr>
              <w:t>證</w:t>
            </w:r>
            <w:r>
              <w:rPr>
                <w:rFonts w:ascii="新細明體" w:eastAsia="新細明體" w:hAnsi="新細明體" w:cs="新細明體" w:hint="eastAsia"/>
                <w:b/>
                <w:color w:val="FF0000"/>
              </w:rPr>
              <w:t>二</w:t>
            </w:r>
            <w:r>
              <w:rPr>
                <w:rFonts w:ascii="新細明體" w:eastAsia="新細明體" w:hAnsi="新細明體" w:cs="新細明體" w:hint="eastAsia"/>
              </w:rPr>
              <w:t>字第</w:t>
            </w:r>
            <w:r>
              <w:rPr>
                <w:rFonts w:ascii="新細明體" w:eastAsia="新細明體" w:hAnsi="新細明體" w:cs="新細明體" w:hint="eastAsia"/>
                <w:b/>
                <w:color w:val="FF0000"/>
              </w:rPr>
              <w:t>09</w:t>
            </w:r>
            <w:r>
              <w:rPr>
                <w:rFonts w:ascii="新細明體" w:eastAsia="新細明體" w:hAnsi="新細明體" w:cs="新細明體" w:hint="eastAsia"/>
              </w:rPr>
              <w:t>2</w:t>
            </w:r>
            <w:r>
              <w:rPr>
                <w:rFonts w:ascii="新細明體" w:eastAsia="新細明體" w:hAnsi="新細明體" w:cs="新細明體" w:hint="eastAsia"/>
                <w:b/>
                <w:color w:val="FF0000"/>
              </w:rPr>
              <w:t>01</w:t>
            </w:r>
            <w:r>
              <w:rPr>
                <w:rFonts w:ascii="新細明體" w:eastAsia="新細明體" w:hAnsi="新細明體" w:cs="新細明體" w:hint="eastAsia"/>
              </w:rPr>
              <w:t>0</w:t>
            </w:r>
            <w:r>
              <w:rPr>
                <w:rFonts w:ascii="新細明體" w:eastAsia="新細明體" w:hAnsi="新細明體" w:cs="新細明體" w:hint="eastAsia"/>
                <w:b/>
                <w:color w:val="FF0000"/>
              </w:rPr>
              <w:t>0</w:t>
            </w:r>
            <w:r>
              <w:rPr>
                <w:rFonts w:ascii="新細明體" w:eastAsia="新細明體" w:hAnsi="新細明體" w:cs="新細明體" w:hint="eastAsia"/>
              </w:rPr>
              <w:t>4</w:t>
            </w:r>
            <w:r>
              <w:rPr>
                <w:rFonts w:ascii="新細明體" w:eastAsia="新細明體" w:hAnsi="新細明體" w:cs="新細明體" w:hint="eastAsia"/>
                <w:b/>
                <w:color w:val="FF0000"/>
              </w:rPr>
              <w:t>79</w:t>
            </w:r>
            <w:r>
              <w:rPr>
                <w:rFonts w:ascii="新細明體" w:eastAsia="新細明體" w:hAnsi="新細明體" w:cs="新細明體" w:hint="eastAsia"/>
              </w:rPr>
              <w:t>號</w:t>
            </w:r>
            <w:r>
              <w:rPr>
                <w:rFonts w:ascii="新細明體" w:eastAsia="新細明體" w:hAnsi="新細明體" w:cs="新細明體" w:hint="eastAsia"/>
                <w:b/>
                <w:color w:val="FF0000"/>
              </w:rPr>
              <w:t>函</w:t>
            </w:r>
          </w:p>
        </w:tc>
        <w:tc>
          <w:tcPr>
            <w:tcW w:w="2023" w:type="dxa"/>
            <w:vMerge/>
            <w:tcBorders>
              <w:right w:val="single" w:sz="12" w:space="0" w:color="auto"/>
            </w:tcBorders>
          </w:tcPr>
          <w:p w14:paraId="490C30B2"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B29C36D" w14:textId="77777777">
        <w:tc>
          <w:tcPr>
            <w:tcW w:w="1384" w:type="dxa"/>
            <w:vMerge/>
            <w:tcBorders>
              <w:left w:val="single" w:sz="12" w:space="0" w:color="auto"/>
            </w:tcBorders>
          </w:tcPr>
          <w:p w14:paraId="016718C5" w14:textId="77777777" w:rsidR="00A943E4" w:rsidRDefault="00A943E4">
            <w:pPr>
              <w:rPr>
                <w:rFonts w:ascii="新細明體" w:eastAsia="新細明體" w:hAnsi="新細明體"/>
              </w:rPr>
            </w:pPr>
          </w:p>
        </w:tc>
        <w:tc>
          <w:tcPr>
            <w:tcW w:w="1276" w:type="dxa"/>
            <w:vMerge/>
          </w:tcPr>
          <w:p w14:paraId="6B2DF948" w14:textId="77777777" w:rsidR="00A943E4" w:rsidRDefault="00A943E4">
            <w:pPr>
              <w:rPr>
                <w:rFonts w:ascii="新細明體" w:eastAsia="新細明體" w:hAnsi="新細明體"/>
              </w:rPr>
            </w:pPr>
          </w:p>
        </w:tc>
        <w:tc>
          <w:tcPr>
            <w:tcW w:w="5386" w:type="dxa"/>
            <w:tcBorders>
              <w:top w:val="nil"/>
              <w:bottom w:val="nil"/>
            </w:tcBorders>
          </w:tcPr>
          <w:p w14:paraId="5DC13671"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(十一)金管會95年2月23日金管證二字第0940157605號令</w:t>
            </w:r>
          </w:p>
        </w:tc>
        <w:tc>
          <w:tcPr>
            <w:tcW w:w="5387" w:type="dxa"/>
            <w:tcBorders>
              <w:top w:val="nil"/>
              <w:bottom w:val="nil"/>
            </w:tcBorders>
          </w:tcPr>
          <w:p w14:paraId="58527905"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(十一)金管會95年2月23日金管證二字第0940157605號令</w:t>
            </w:r>
          </w:p>
        </w:tc>
        <w:tc>
          <w:tcPr>
            <w:tcW w:w="2023" w:type="dxa"/>
            <w:vMerge/>
            <w:tcBorders>
              <w:right w:val="single" w:sz="12" w:space="0" w:color="auto"/>
            </w:tcBorders>
          </w:tcPr>
          <w:p w14:paraId="6EF9AB33"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8CA2F2A" w14:textId="77777777">
        <w:tc>
          <w:tcPr>
            <w:tcW w:w="1384" w:type="dxa"/>
            <w:vMerge/>
            <w:tcBorders>
              <w:left w:val="single" w:sz="12" w:space="0" w:color="auto"/>
            </w:tcBorders>
          </w:tcPr>
          <w:p w14:paraId="0C3B2F33" w14:textId="77777777" w:rsidR="00A943E4" w:rsidRDefault="00A943E4">
            <w:pPr>
              <w:rPr>
                <w:rFonts w:ascii="新細明體" w:eastAsia="新細明體" w:hAnsi="新細明體"/>
              </w:rPr>
            </w:pPr>
          </w:p>
        </w:tc>
        <w:tc>
          <w:tcPr>
            <w:tcW w:w="1276" w:type="dxa"/>
            <w:vMerge/>
          </w:tcPr>
          <w:p w14:paraId="558E8214" w14:textId="77777777" w:rsidR="00A943E4" w:rsidRDefault="00A943E4">
            <w:pPr>
              <w:rPr>
                <w:rFonts w:ascii="新細明體" w:eastAsia="新細明體" w:hAnsi="新細明體"/>
              </w:rPr>
            </w:pPr>
          </w:p>
        </w:tc>
        <w:tc>
          <w:tcPr>
            <w:tcW w:w="5386" w:type="dxa"/>
            <w:tcBorders>
              <w:top w:val="nil"/>
              <w:bottom w:val="nil"/>
            </w:tcBorders>
          </w:tcPr>
          <w:p w14:paraId="57212F34"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(十二)金管會104年2月26日金管證券字第1030052033號令</w:t>
            </w:r>
          </w:p>
        </w:tc>
        <w:tc>
          <w:tcPr>
            <w:tcW w:w="5387" w:type="dxa"/>
            <w:tcBorders>
              <w:top w:val="nil"/>
              <w:bottom w:val="nil"/>
            </w:tcBorders>
          </w:tcPr>
          <w:p w14:paraId="2F1CB3FC"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(十二)金管會104年2月26日金管證券字第1030052033號令</w:t>
            </w:r>
          </w:p>
        </w:tc>
        <w:tc>
          <w:tcPr>
            <w:tcW w:w="2023" w:type="dxa"/>
            <w:vMerge/>
            <w:tcBorders>
              <w:right w:val="single" w:sz="12" w:space="0" w:color="auto"/>
            </w:tcBorders>
          </w:tcPr>
          <w:p w14:paraId="7B319912"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5647A0B" w14:textId="77777777">
        <w:tc>
          <w:tcPr>
            <w:tcW w:w="1384" w:type="dxa"/>
            <w:vMerge/>
            <w:tcBorders>
              <w:left w:val="single" w:sz="12" w:space="0" w:color="auto"/>
            </w:tcBorders>
          </w:tcPr>
          <w:p w14:paraId="3F804030" w14:textId="77777777" w:rsidR="00A943E4" w:rsidRDefault="00A943E4">
            <w:pPr>
              <w:rPr>
                <w:rFonts w:ascii="新細明體" w:eastAsia="新細明體" w:hAnsi="新細明體"/>
              </w:rPr>
            </w:pPr>
          </w:p>
        </w:tc>
        <w:tc>
          <w:tcPr>
            <w:tcW w:w="1276" w:type="dxa"/>
            <w:vMerge/>
          </w:tcPr>
          <w:p w14:paraId="362B5ACA" w14:textId="77777777" w:rsidR="00A943E4" w:rsidRDefault="00A943E4">
            <w:pPr>
              <w:rPr>
                <w:rFonts w:ascii="新細明體" w:eastAsia="新細明體" w:hAnsi="新細明體"/>
              </w:rPr>
            </w:pPr>
          </w:p>
        </w:tc>
        <w:tc>
          <w:tcPr>
            <w:tcW w:w="5386" w:type="dxa"/>
            <w:tcBorders>
              <w:top w:val="nil"/>
              <w:bottom w:val="nil"/>
            </w:tcBorders>
          </w:tcPr>
          <w:p w14:paraId="3846B9B2"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(十三)105 年 12 月 19 日金管證券字第1050049197號令</w:t>
            </w:r>
          </w:p>
        </w:tc>
        <w:tc>
          <w:tcPr>
            <w:tcW w:w="5387" w:type="dxa"/>
            <w:tcBorders>
              <w:top w:val="nil"/>
              <w:bottom w:val="nil"/>
            </w:tcBorders>
          </w:tcPr>
          <w:p w14:paraId="0C4EB1FE"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(十三)105 年 12 月 19 日金管證券字第1050049197號令</w:t>
            </w:r>
          </w:p>
        </w:tc>
        <w:tc>
          <w:tcPr>
            <w:tcW w:w="2023" w:type="dxa"/>
            <w:vMerge/>
            <w:tcBorders>
              <w:right w:val="single" w:sz="12" w:space="0" w:color="auto"/>
            </w:tcBorders>
          </w:tcPr>
          <w:p w14:paraId="420F05F6"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286884E" w14:textId="77777777">
        <w:tc>
          <w:tcPr>
            <w:tcW w:w="1384" w:type="dxa"/>
            <w:vMerge/>
            <w:tcBorders>
              <w:left w:val="single" w:sz="12" w:space="0" w:color="auto"/>
            </w:tcBorders>
          </w:tcPr>
          <w:p w14:paraId="0AAAE35F" w14:textId="77777777" w:rsidR="00A943E4" w:rsidRDefault="00A943E4">
            <w:pPr>
              <w:rPr>
                <w:rFonts w:ascii="新細明體" w:eastAsia="新細明體" w:hAnsi="新細明體"/>
              </w:rPr>
            </w:pPr>
          </w:p>
        </w:tc>
        <w:tc>
          <w:tcPr>
            <w:tcW w:w="1276" w:type="dxa"/>
            <w:vMerge/>
          </w:tcPr>
          <w:p w14:paraId="58E17227" w14:textId="77777777" w:rsidR="00A943E4" w:rsidRDefault="00A943E4">
            <w:pPr>
              <w:rPr>
                <w:rFonts w:ascii="新細明體" w:eastAsia="新細明體" w:hAnsi="新細明體"/>
              </w:rPr>
            </w:pPr>
          </w:p>
        </w:tc>
        <w:tc>
          <w:tcPr>
            <w:tcW w:w="5386" w:type="dxa"/>
            <w:tcBorders>
              <w:top w:val="nil"/>
              <w:bottom w:val="nil"/>
            </w:tcBorders>
          </w:tcPr>
          <w:p w14:paraId="5BE51650"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(十四)107年7月31日金管證券字第10703249551號令</w:t>
            </w:r>
          </w:p>
        </w:tc>
        <w:tc>
          <w:tcPr>
            <w:tcW w:w="5387" w:type="dxa"/>
            <w:tcBorders>
              <w:top w:val="nil"/>
              <w:bottom w:val="nil"/>
            </w:tcBorders>
          </w:tcPr>
          <w:p w14:paraId="7E95D439"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(十四)107年7月31日金管證券字第10703249551號令</w:t>
            </w:r>
          </w:p>
        </w:tc>
        <w:tc>
          <w:tcPr>
            <w:tcW w:w="2023" w:type="dxa"/>
            <w:vMerge/>
            <w:tcBorders>
              <w:right w:val="single" w:sz="12" w:space="0" w:color="auto"/>
            </w:tcBorders>
          </w:tcPr>
          <w:p w14:paraId="54FB94C1"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3083DAE" w14:textId="77777777">
        <w:tc>
          <w:tcPr>
            <w:tcW w:w="1384" w:type="dxa"/>
            <w:vMerge/>
            <w:tcBorders>
              <w:left w:val="single" w:sz="12" w:space="0" w:color="auto"/>
            </w:tcBorders>
          </w:tcPr>
          <w:p w14:paraId="0E27EA29" w14:textId="77777777" w:rsidR="00A943E4" w:rsidRDefault="00A943E4">
            <w:pPr>
              <w:rPr>
                <w:rFonts w:ascii="新細明體" w:eastAsia="新細明體" w:hAnsi="新細明體"/>
              </w:rPr>
            </w:pPr>
          </w:p>
        </w:tc>
        <w:tc>
          <w:tcPr>
            <w:tcW w:w="1276" w:type="dxa"/>
            <w:vMerge/>
          </w:tcPr>
          <w:p w14:paraId="2C4EE7DC" w14:textId="77777777" w:rsidR="00A943E4" w:rsidRDefault="00A943E4">
            <w:pPr>
              <w:rPr>
                <w:rFonts w:ascii="新細明體" w:eastAsia="新細明體" w:hAnsi="新細明體"/>
              </w:rPr>
            </w:pPr>
          </w:p>
        </w:tc>
        <w:tc>
          <w:tcPr>
            <w:tcW w:w="5386" w:type="dxa"/>
            <w:tcBorders>
              <w:top w:val="nil"/>
              <w:bottom w:val="nil"/>
            </w:tcBorders>
          </w:tcPr>
          <w:p w14:paraId="6A21A8E7"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(十五)109年2月3日金管證券字第1090360209號令、109年2月5日金管證券字第10903602095號令</w:t>
            </w:r>
          </w:p>
        </w:tc>
        <w:tc>
          <w:tcPr>
            <w:tcW w:w="5387" w:type="dxa"/>
            <w:tcBorders>
              <w:top w:val="nil"/>
              <w:bottom w:val="nil"/>
            </w:tcBorders>
          </w:tcPr>
          <w:p w14:paraId="285998C9"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(十五)109年2月3日金管證券字第1090360209號令、109年2月5日金管證券字第10903602095號令</w:t>
            </w:r>
          </w:p>
        </w:tc>
        <w:tc>
          <w:tcPr>
            <w:tcW w:w="2023" w:type="dxa"/>
            <w:vMerge/>
            <w:tcBorders>
              <w:right w:val="single" w:sz="12" w:space="0" w:color="auto"/>
            </w:tcBorders>
          </w:tcPr>
          <w:p w14:paraId="10471BF5"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3C87DC8" w14:textId="77777777">
        <w:tc>
          <w:tcPr>
            <w:tcW w:w="1384" w:type="dxa"/>
            <w:vMerge/>
            <w:tcBorders>
              <w:left w:val="single" w:sz="12" w:space="0" w:color="auto"/>
            </w:tcBorders>
          </w:tcPr>
          <w:p w14:paraId="3E32EE1D" w14:textId="77777777" w:rsidR="00A943E4" w:rsidRDefault="00A943E4">
            <w:pPr>
              <w:rPr>
                <w:rFonts w:ascii="新細明體" w:eastAsia="新細明體" w:hAnsi="新細明體"/>
              </w:rPr>
            </w:pPr>
          </w:p>
        </w:tc>
        <w:tc>
          <w:tcPr>
            <w:tcW w:w="1276" w:type="dxa"/>
            <w:vMerge/>
          </w:tcPr>
          <w:p w14:paraId="42E5A753" w14:textId="77777777" w:rsidR="00A943E4" w:rsidRDefault="00A943E4">
            <w:pPr>
              <w:rPr>
                <w:rFonts w:ascii="新細明體" w:eastAsia="新細明體" w:hAnsi="新細明體"/>
              </w:rPr>
            </w:pPr>
          </w:p>
        </w:tc>
        <w:tc>
          <w:tcPr>
            <w:tcW w:w="5386" w:type="dxa"/>
            <w:tcBorders>
              <w:top w:val="nil"/>
              <w:bottom w:val="nil"/>
            </w:tcBorders>
          </w:tcPr>
          <w:p w14:paraId="7F50FE5B" w14:textId="77777777" w:rsidR="00A943E4" w:rsidRPr="00F6439B" w:rsidRDefault="0027008E">
            <w:pPr>
              <w:spacing w:line="360" w:lineRule="exact"/>
              <w:ind w:left="486" w:hangingChars="187" w:hanging="486"/>
              <w:rPr>
                <w:rFonts w:ascii="新細明體" w:eastAsia="新細明體" w:hAnsi="新細明體" w:cs="新細明體"/>
              </w:rPr>
            </w:pPr>
            <w:r>
              <w:rPr>
                <w:rFonts w:ascii="新細明體" w:eastAsia="新細明體" w:hAnsi="新細明體" w:cs="新細明體" w:hint="eastAsia"/>
              </w:rPr>
              <w:t>二、使用表單：</w:t>
            </w:r>
          </w:p>
        </w:tc>
        <w:tc>
          <w:tcPr>
            <w:tcW w:w="5387" w:type="dxa"/>
            <w:tcBorders>
              <w:top w:val="nil"/>
              <w:bottom w:val="nil"/>
            </w:tcBorders>
          </w:tcPr>
          <w:p w14:paraId="613AD5C7" w14:textId="77777777" w:rsidR="00A943E4" w:rsidRPr="00F6439B" w:rsidRDefault="0027008E">
            <w:pPr>
              <w:spacing w:line="360" w:lineRule="exact"/>
              <w:ind w:left="486" w:hangingChars="187" w:hanging="486"/>
              <w:rPr>
                <w:rFonts w:ascii="新細明體" w:eastAsia="新細明體" w:hAnsi="新細明體" w:cs="新細明體"/>
              </w:rPr>
            </w:pPr>
            <w:r>
              <w:rPr>
                <w:rFonts w:ascii="新細明體" w:eastAsia="新細明體" w:hAnsi="新細明體" w:cs="新細明體" w:hint="eastAsia"/>
              </w:rPr>
              <w:t>二、使用表單：</w:t>
            </w:r>
          </w:p>
        </w:tc>
        <w:tc>
          <w:tcPr>
            <w:tcW w:w="2023" w:type="dxa"/>
            <w:vMerge/>
            <w:tcBorders>
              <w:right w:val="single" w:sz="12" w:space="0" w:color="auto"/>
            </w:tcBorders>
          </w:tcPr>
          <w:p w14:paraId="292822B7"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AE9490D" w14:textId="77777777">
        <w:tc>
          <w:tcPr>
            <w:tcW w:w="1384" w:type="dxa"/>
            <w:vMerge/>
            <w:tcBorders>
              <w:left w:val="single" w:sz="12" w:space="0" w:color="auto"/>
            </w:tcBorders>
          </w:tcPr>
          <w:p w14:paraId="3D8E1715" w14:textId="77777777" w:rsidR="00A943E4" w:rsidRDefault="00A943E4">
            <w:pPr>
              <w:rPr>
                <w:rFonts w:ascii="新細明體" w:eastAsia="新細明體" w:hAnsi="新細明體"/>
              </w:rPr>
            </w:pPr>
          </w:p>
        </w:tc>
        <w:tc>
          <w:tcPr>
            <w:tcW w:w="1276" w:type="dxa"/>
            <w:vMerge/>
          </w:tcPr>
          <w:p w14:paraId="0F1847AA" w14:textId="77777777" w:rsidR="00A943E4" w:rsidRDefault="00A943E4">
            <w:pPr>
              <w:rPr>
                <w:rFonts w:ascii="新細明體" w:eastAsia="新細明體" w:hAnsi="新細明體"/>
              </w:rPr>
            </w:pPr>
          </w:p>
        </w:tc>
        <w:tc>
          <w:tcPr>
            <w:tcW w:w="5386" w:type="dxa"/>
            <w:tcBorders>
              <w:top w:val="nil"/>
              <w:bottom w:val="nil"/>
            </w:tcBorders>
          </w:tcPr>
          <w:p w14:paraId="3181FFB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(一)買賣決策</w:t>
            </w:r>
          </w:p>
        </w:tc>
        <w:tc>
          <w:tcPr>
            <w:tcW w:w="5387" w:type="dxa"/>
            <w:tcBorders>
              <w:top w:val="nil"/>
              <w:bottom w:val="nil"/>
            </w:tcBorders>
          </w:tcPr>
          <w:p w14:paraId="633C5A8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(一)買賣決策</w:t>
            </w:r>
          </w:p>
        </w:tc>
        <w:tc>
          <w:tcPr>
            <w:tcW w:w="2023" w:type="dxa"/>
            <w:vMerge/>
            <w:tcBorders>
              <w:right w:val="single" w:sz="12" w:space="0" w:color="auto"/>
            </w:tcBorders>
          </w:tcPr>
          <w:p w14:paraId="1D6A1D0D"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B680984" w14:textId="77777777">
        <w:tc>
          <w:tcPr>
            <w:tcW w:w="1384" w:type="dxa"/>
            <w:vMerge/>
            <w:tcBorders>
              <w:left w:val="single" w:sz="12" w:space="0" w:color="auto"/>
            </w:tcBorders>
          </w:tcPr>
          <w:p w14:paraId="32A43C95" w14:textId="77777777" w:rsidR="00A943E4" w:rsidRDefault="00A943E4">
            <w:pPr>
              <w:rPr>
                <w:rFonts w:ascii="新細明體" w:eastAsia="新細明體" w:hAnsi="新細明體"/>
              </w:rPr>
            </w:pPr>
          </w:p>
        </w:tc>
        <w:tc>
          <w:tcPr>
            <w:tcW w:w="1276" w:type="dxa"/>
            <w:vMerge/>
          </w:tcPr>
          <w:p w14:paraId="61B4F732" w14:textId="77777777" w:rsidR="00A943E4" w:rsidRDefault="00A943E4">
            <w:pPr>
              <w:rPr>
                <w:rFonts w:ascii="新細明體" w:eastAsia="新細明體" w:hAnsi="新細明體"/>
              </w:rPr>
            </w:pPr>
          </w:p>
        </w:tc>
        <w:tc>
          <w:tcPr>
            <w:tcW w:w="5386" w:type="dxa"/>
            <w:tcBorders>
              <w:top w:val="nil"/>
              <w:bottom w:val="nil"/>
            </w:tcBorders>
          </w:tcPr>
          <w:p w14:paraId="767C158C"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(二)公司自訂之自營部作業單</w:t>
            </w:r>
          </w:p>
        </w:tc>
        <w:tc>
          <w:tcPr>
            <w:tcW w:w="5387" w:type="dxa"/>
            <w:tcBorders>
              <w:top w:val="nil"/>
              <w:bottom w:val="nil"/>
            </w:tcBorders>
          </w:tcPr>
          <w:p w14:paraId="11539AA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(二)公司自訂之自營部作業單</w:t>
            </w:r>
          </w:p>
        </w:tc>
        <w:tc>
          <w:tcPr>
            <w:tcW w:w="2023" w:type="dxa"/>
            <w:vMerge/>
            <w:tcBorders>
              <w:right w:val="single" w:sz="12" w:space="0" w:color="auto"/>
            </w:tcBorders>
          </w:tcPr>
          <w:p w14:paraId="4F6045F1"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03EC65F" w14:textId="77777777">
        <w:tc>
          <w:tcPr>
            <w:tcW w:w="1384" w:type="dxa"/>
            <w:vMerge/>
            <w:tcBorders>
              <w:left w:val="single" w:sz="12" w:space="0" w:color="auto"/>
              <w:bottom w:val="single" w:sz="12" w:space="0" w:color="auto"/>
            </w:tcBorders>
          </w:tcPr>
          <w:p w14:paraId="2141D410" w14:textId="77777777" w:rsidR="00A943E4" w:rsidRDefault="00A943E4">
            <w:pPr>
              <w:rPr>
                <w:rFonts w:ascii="新細明體" w:eastAsia="新細明體" w:hAnsi="新細明體"/>
              </w:rPr>
            </w:pPr>
          </w:p>
        </w:tc>
        <w:tc>
          <w:tcPr>
            <w:tcW w:w="1276" w:type="dxa"/>
            <w:vMerge/>
            <w:tcBorders>
              <w:bottom w:val="single" w:sz="12" w:space="0" w:color="auto"/>
            </w:tcBorders>
          </w:tcPr>
          <w:p w14:paraId="75712BBF" w14:textId="77777777" w:rsidR="00A943E4" w:rsidRDefault="00A943E4">
            <w:pPr>
              <w:rPr>
                <w:rFonts w:ascii="新細明體" w:eastAsia="新細明體" w:hAnsi="新細明體"/>
              </w:rPr>
            </w:pPr>
          </w:p>
        </w:tc>
        <w:tc>
          <w:tcPr>
            <w:tcW w:w="5386" w:type="dxa"/>
            <w:tcBorders>
              <w:top w:val="nil"/>
              <w:bottom w:val="single" w:sz="12" w:space="0" w:color="auto"/>
            </w:tcBorders>
          </w:tcPr>
          <w:p w14:paraId="11A8389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(三)自營部庫存日報表</w:t>
            </w:r>
          </w:p>
        </w:tc>
        <w:tc>
          <w:tcPr>
            <w:tcW w:w="5387" w:type="dxa"/>
            <w:tcBorders>
              <w:top w:val="nil"/>
              <w:bottom w:val="single" w:sz="12" w:space="0" w:color="auto"/>
            </w:tcBorders>
          </w:tcPr>
          <w:p w14:paraId="7D9002F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(三)自營部庫存日報表</w:t>
            </w:r>
          </w:p>
        </w:tc>
        <w:tc>
          <w:tcPr>
            <w:tcW w:w="2023" w:type="dxa"/>
            <w:vMerge/>
            <w:tcBorders>
              <w:bottom w:val="single" w:sz="12" w:space="0" w:color="auto"/>
              <w:right w:val="single" w:sz="12" w:space="0" w:color="auto"/>
            </w:tcBorders>
          </w:tcPr>
          <w:p w14:paraId="18CDF50E"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bl>
    <w:p w14:paraId="734CEB66"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D1590" w14:textId="77777777" w:rsidR="0057278D" w:rsidRDefault="0057278D" w:rsidP="00E87601">
      <w:pPr>
        <w:spacing w:line="240" w:lineRule="auto"/>
      </w:pPr>
      <w:r>
        <w:separator/>
      </w:r>
    </w:p>
  </w:endnote>
  <w:endnote w:type="continuationSeparator" w:id="0">
    <w:p w14:paraId="683BA5A2" w14:textId="77777777" w:rsidR="0057278D" w:rsidRDefault="0057278D"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C3F5B" w14:textId="77777777" w:rsidR="0057278D" w:rsidRDefault="0057278D" w:rsidP="00E87601">
      <w:pPr>
        <w:spacing w:line="240" w:lineRule="auto"/>
      </w:pPr>
      <w:r>
        <w:separator/>
      </w:r>
    </w:p>
  </w:footnote>
  <w:footnote w:type="continuationSeparator" w:id="0">
    <w:p w14:paraId="65BFEE5E" w14:textId="77777777" w:rsidR="0057278D" w:rsidRDefault="0057278D"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44875"/>
    <w:rsid w:val="00155D75"/>
    <w:rsid w:val="001643B7"/>
    <w:rsid w:val="00164EC3"/>
    <w:rsid w:val="001812B0"/>
    <w:rsid w:val="001C0745"/>
    <w:rsid w:val="001E533B"/>
    <w:rsid w:val="00200AE8"/>
    <w:rsid w:val="00216524"/>
    <w:rsid w:val="00216A6E"/>
    <w:rsid w:val="002300E4"/>
    <w:rsid w:val="0025567C"/>
    <w:rsid w:val="0027008E"/>
    <w:rsid w:val="002869F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278D"/>
    <w:rsid w:val="0057303B"/>
    <w:rsid w:val="00587858"/>
    <w:rsid w:val="00590586"/>
    <w:rsid w:val="005A67E0"/>
    <w:rsid w:val="005D293B"/>
    <w:rsid w:val="005E48B0"/>
    <w:rsid w:val="005E7776"/>
    <w:rsid w:val="005E77C1"/>
    <w:rsid w:val="0061624E"/>
    <w:rsid w:val="00622D10"/>
    <w:rsid w:val="00651DC4"/>
    <w:rsid w:val="00655F5F"/>
    <w:rsid w:val="00667311"/>
    <w:rsid w:val="006736A2"/>
    <w:rsid w:val="00677A71"/>
    <w:rsid w:val="006862FE"/>
    <w:rsid w:val="0068743F"/>
    <w:rsid w:val="006906B7"/>
    <w:rsid w:val="006C109E"/>
    <w:rsid w:val="006E7D9E"/>
    <w:rsid w:val="006F3678"/>
    <w:rsid w:val="00715E62"/>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411E6"/>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550C51"/>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1765</Words>
  <Characters>10061</Characters>
  <Application>Microsoft Office Word</Application>
  <DocSecurity>0</DocSecurity>
  <Lines>83</Lines>
  <Paragraphs>23</Paragraphs>
  <ScaleCrop>false</ScaleCrop>
  <Company>Hewlett-Packard Company</Company>
  <LinksUpToDate>false</LinksUpToDate>
  <CharactersWithSpaces>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4</cp:revision>
  <cp:lastPrinted>2004-03-09T19:20:00Z</cp:lastPrinted>
  <dcterms:created xsi:type="dcterms:W3CDTF">2026-03-27T01:57:00Z</dcterms:created>
  <dcterms:modified xsi:type="dcterms:W3CDTF">2026-03-27T02:02:00Z</dcterms:modified>
</cp:coreProperties>
</file>